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  <w:t>年度项目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推进工作专项经费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/>
        </w:rPr>
        <w:t>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根据《中华人民共和国预算法》规定，按照《中共中央国务院关于全面实施预算绩效管理的意见》（中发〔2018〕34号）、《财政部关于印发〈项目支出绩效评价管理办法〉的通知》（财预〔2020〕10 号）的要求，对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山西省发展和改革委员会项目推进中心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开展了绩效评价，现将有关情况报告如下。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（一）项目背景。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贯彻落实省委省政府决策部署，树牢“把项目建设作为经济工作的第一支撑”鲜明导向，按照总指挥部工作机制，加力提速抓重点工程项目建设，对全省稳增长补短板促转型发挥了重要支撑作用。设立项目推进工作专项经费主要用于推进项目建设，开展全省项目的前期策划、中期推进、后期评价；跟踪监测分析全省项目推进情况及重大项目稽察；评估评价投资营商环境；与项目相关的培训工作；开展重要商品价格监测、涉案物品价格鉴定和争议审核工作，梳理项目建设的堵点、痛点，跟踪监测分析全省项目推进情况。为项目建设提供综合服务保障是落实省委省政府精神，保障投资持续稳定增长，促进我省经济发展的根本举措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（二）项目执行情况。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1.预算执行情况。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项目推进工作专项经费全年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数239.4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万元，截至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年12月31日，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年度执行总数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215.74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万元，执行率9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0.12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%。基本完成项目预计任务。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2.效益实现情况。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2021年度我中心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全力推进重大项目建设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深入落实项目是经济工作第一支撑的部署要求。全流程参与省级重点工程项目推进。构建全口径调度、全要素保障、全流程服务的一体化项目推进机制。闭环解决重点工程梗阻难题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分两批起底重点工程问题277个，交办190个，问题办结率达到92%。对接金融机构纾解融资困境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组织三场省级重点工程融资推介会，246个项目达成融资意向，达成融资授信2169亿元。提升项目管理信息化水平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依托项目管理库、省重点工程服务平台，动态掌握项目进展，强化项目跟踪管理。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3.产出情况。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全省重点工程项目643个入库子项目，当年实际开工项目个数583个，当年计划开工项目开工率为70%，实际开工率达到90.7%，完成计划任务的129.57%；2021年省级重点工程270个年度建设项目，已全部开复工，开复工率100%，当年计划目标为80%，已完成目标任务的125%。2021年度项目推进工作专项经费设定的目标全部按时完成，经费支出严格控制在预算指标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满意度情况。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为确保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省级重点工程项目顺利推进，我单位构建了全口径调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度、全要素保障、全流程服务的一体化项目推进机制，工作成效得到项目单位和有关部门的认可。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二、绩效评价工作情况及评价结论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（一）评价范围及目的。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此次评价工作对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执行情况和资金使用情况进行全面绩效评价。通过对项目进行全面系统梳理和分析，全面总结经验、发现问题，形成项目总体认识和评价结论，为部门科学决策、规范管理提供参考，强化预算管理，促进项目具体实施单位改进工作，提高资源配置效率和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（二）评价指标体系。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根据《财政部关于印发&lt;项目支出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绩效评价管理办法&gt;的通知》（财预〔2020〕10 号）文件规定，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本次评价指标体系包括项目决策、项目过程、项目产出、项目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效益4个一级指标，满分为 100 分。其中，项目决策（20分）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主要评价项目立项、绩效目标、资金投入情况，重点关注项目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绩效目标设定情况、预算编制情况。项目过程（20分）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主要评价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省级重点工程项目推进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其中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资金方面重点关注资金支出的合法合规性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业务方面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关注省级重点工程问题办结情况、信用信息归集共享及使用的管理规范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、各类价格认定案件办理情况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项目产出（30 分）主要评价项目在本年度的实际产出数量、产出质量等产出完成情况，根据项目申报内容，重点核实产出数量是否达到设定目标、产出质量是否符合设定标准。项目效益（30 分）主要评价社会效益及服务对象满意度情况，重点关注项目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推进工作为我省重大项目建设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方面发挥的实际作用情况和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项目单位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等服务对象的满意度情况。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（三）评价方法与实施。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本次评价采用现场调研与非现场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评价相结合的形式开展。评价综合运用比较法（对项目绩效目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标与实施效果、预算与实际支出对比）、专家评价法（就财务管理、发挥实效等方面咨询有关专家给出评价意见）、文献研究法（查找会计管理相关背景资料）等分析方法，对项目决策、过程、产出、效果四个方面进行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（四）评价结论。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项目综合评价得分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99.01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分，评价等级为“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项目推进工作专项经费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项目基本按照计划完成年度工作任务，实现了年度绩效目标，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推进重大项目建设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、管理规范信用信息归集共享及使用、化解价格领域纠纷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等方面取得了较好的社会效益。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但是，项目也存在绩效指标设置不够合理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三、绩效评价指标完成情况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（一）决策指标分析。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该指标分值 20 分，得分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19.36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分。项目立项依据较充分，程序较规范。项目绩效目标细化分解为具体的绩效指标，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便于项目实施期监控项目实施情况和实施期完毕量化评价。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但部分绩效指标设置不够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科学和全面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导致对项目评价的功能性减弱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（二）过程指标分析。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该指标分值 20 分，得分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项目建立了相关业务及财务管理制度，能够满足项目管理需求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产出指标分析。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该指标分值30分，得分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至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12月31日，项目整体产出较好，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按计划完成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项目推进的工作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（四）效益指标分析。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该指标分值30分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29.65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全省项目推进系统坚决贯彻落实省委、省政府决策部署，围绕主责主业，主动担当作为，各项任务圆满完成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，对全省稳增长补短板促转型发挥了重要支撑作用。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绩效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评价指标的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设置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遵循指向明确、细化量化、合理可行、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与绩效目标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相应匹配的原则，但由于目前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相关工作人员的项目绩效评价的专业知识不足，导致对项目绩效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设定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缺少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科学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合理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性。如部分指标的量化度不够，定性化的指标对项目评价较为笼统，不能直观地反映项目的完成情况；部分绩效指标的数值设置不够合理，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未充分体现项目预期要达到的产出和效果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部分绩效指标与绩效总体目标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对应关系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弱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，造成绩效评价时无法对应绩效产出指标一一核实，影响评价结果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绩效指标未涵盖项目核心内容，指标内容设置不全。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  <w:t>五、相关建议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主管部门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加强对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绩效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的指导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和培训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提升相关人员的专业化知识水平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。同时，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聘请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对项目的绩效目标和评价指标进行可行性和科学性的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论证与研究，结合项目内容及特点，设置更为科学合理的绩效目标与指标，充分体现项目产出与效果。</w:t>
      </w:r>
    </w:p>
    <w:p/>
    <w:sectPr>
      <w:pgSz w:w="11906" w:h="16838"/>
      <w:pgMar w:top="1440" w:right="1576" w:bottom="1270" w:left="1633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BE967"/>
    <w:multiLevelType w:val="singleLevel"/>
    <w:tmpl w:val="336BE9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222B90"/>
    <w:multiLevelType w:val="singleLevel"/>
    <w:tmpl w:val="61222B90"/>
    <w:lvl w:ilvl="0" w:tentative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JlZDBjZmVjNGEwZmFmYTgzNGM4NWNjMGVmODEifQ=="/>
  </w:docVars>
  <w:rsids>
    <w:rsidRoot w:val="00000000"/>
    <w:rsid w:val="00303F39"/>
    <w:rsid w:val="023752CF"/>
    <w:rsid w:val="03595555"/>
    <w:rsid w:val="04784101"/>
    <w:rsid w:val="05BD626F"/>
    <w:rsid w:val="06840B3B"/>
    <w:rsid w:val="07DF23BB"/>
    <w:rsid w:val="0805367D"/>
    <w:rsid w:val="0824175B"/>
    <w:rsid w:val="094E7C8D"/>
    <w:rsid w:val="0A1B5312"/>
    <w:rsid w:val="0A1C72DC"/>
    <w:rsid w:val="0F6C6610"/>
    <w:rsid w:val="145002AE"/>
    <w:rsid w:val="14CA62B3"/>
    <w:rsid w:val="15E056A4"/>
    <w:rsid w:val="16337E88"/>
    <w:rsid w:val="16BD2DDB"/>
    <w:rsid w:val="1BA62EAA"/>
    <w:rsid w:val="1BB703A0"/>
    <w:rsid w:val="1C16755A"/>
    <w:rsid w:val="1C5F4B9A"/>
    <w:rsid w:val="1DC46878"/>
    <w:rsid w:val="1DCE275F"/>
    <w:rsid w:val="1DFB572F"/>
    <w:rsid w:val="1F8D5DF9"/>
    <w:rsid w:val="20866084"/>
    <w:rsid w:val="21AE4007"/>
    <w:rsid w:val="237F28E1"/>
    <w:rsid w:val="23A75D7E"/>
    <w:rsid w:val="24A34895"/>
    <w:rsid w:val="29E31034"/>
    <w:rsid w:val="2BB42956"/>
    <w:rsid w:val="2BEC54C9"/>
    <w:rsid w:val="2CEE2B17"/>
    <w:rsid w:val="2D6D33E9"/>
    <w:rsid w:val="2DCF44E2"/>
    <w:rsid w:val="2F9D571E"/>
    <w:rsid w:val="306A5B7B"/>
    <w:rsid w:val="35A10512"/>
    <w:rsid w:val="35D20C0D"/>
    <w:rsid w:val="371511B8"/>
    <w:rsid w:val="3C830972"/>
    <w:rsid w:val="3CCD6091"/>
    <w:rsid w:val="3D2D6F24"/>
    <w:rsid w:val="3D41689F"/>
    <w:rsid w:val="405C1C05"/>
    <w:rsid w:val="446D33DF"/>
    <w:rsid w:val="4852279F"/>
    <w:rsid w:val="48C81396"/>
    <w:rsid w:val="49784CDA"/>
    <w:rsid w:val="4A08695A"/>
    <w:rsid w:val="4A185620"/>
    <w:rsid w:val="4BF42E8C"/>
    <w:rsid w:val="4C2D26A8"/>
    <w:rsid w:val="4D8B4B53"/>
    <w:rsid w:val="4F87001C"/>
    <w:rsid w:val="53A70F92"/>
    <w:rsid w:val="56420017"/>
    <w:rsid w:val="579B2BBB"/>
    <w:rsid w:val="581F30E5"/>
    <w:rsid w:val="584F46C7"/>
    <w:rsid w:val="58EA204C"/>
    <w:rsid w:val="5B323837"/>
    <w:rsid w:val="5F4875A2"/>
    <w:rsid w:val="60184992"/>
    <w:rsid w:val="62EE44E7"/>
    <w:rsid w:val="65165479"/>
    <w:rsid w:val="68915F63"/>
    <w:rsid w:val="6C9A56E0"/>
    <w:rsid w:val="6D4F4126"/>
    <w:rsid w:val="6ED4668F"/>
    <w:rsid w:val="72BB2086"/>
    <w:rsid w:val="72CE64AF"/>
    <w:rsid w:val="74461DC5"/>
    <w:rsid w:val="77644920"/>
    <w:rsid w:val="7D790DF2"/>
    <w:rsid w:val="7EC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2564</Words>
  <Characters>2694</Characters>
  <Lines>0</Lines>
  <Paragraphs>0</Paragraphs>
  <TotalTime>1</TotalTime>
  <ScaleCrop>false</ScaleCrop>
  <LinksUpToDate>false</LinksUpToDate>
  <CharactersWithSpaces>2777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2022-08-19T01:05:00Z</dcterms:created>
  <dc:creator>aa</dc:creator>
  <cp:lastModifiedBy>文山钟秀</cp:lastModifiedBy>
  <dcterms:modified xsi:type="dcterms:W3CDTF">2022-08-19T03:35:20Z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66DCDDB21EF24E29837F45BB47A86507</vt:lpwstr>
  </property>
</Properties>
</file>