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64313">
      <w:pPr>
        <w:rPr>
          <w:u w:val="none"/>
        </w:rPr>
      </w:pPr>
    </w:p>
    <w:p w14:paraId="3109A8CE">
      <w:pPr>
        <w:pStyle w:val="16"/>
        <w:rPr>
          <w:rFonts w:ascii="Times New Roman" w:hAnsi="Times New Roman" w:cs="Times New Roman"/>
          <w:bCs/>
          <w:color w:val="000000" w:themeColor="text1"/>
          <w:spacing w:val="-11"/>
          <w:u w:val="none"/>
          <w14:textFill>
            <w14:solidFill>
              <w14:schemeClr w14:val="tx1"/>
            </w14:solidFill>
          </w14:textFill>
        </w:rPr>
      </w:pPr>
      <w:r>
        <w:rPr>
          <w:rFonts w:ascii="Times New Roman" w:hAnsi="Times New Roman" w:cs="Times New Roman"/>
          <w:bCs/>
          <w:color w:val="000000" w:themeColor="text1"/>
          <w:spacing w:val="-11"/>
          <w:u w:val="none"/>
          <w14:textFill>
            <w14:solidFill>
              <w14:schemeClr w14:val="tx1"/>
            </w14:solidFill>
          </w14:textFill>
        </w:rPr>
        <w:t>以工代赈项目采用灵活方式发包实施办法</w:t>
      </w:r>
    </w:p>
    <w:p w14:paraId="6F5CDCCC">
      <w:pPr>
        <w:pStyle w:val="16"/>
        <w:rPr>
          <w:rFonts w:ascii="Times New Roman" w:hAnsi="Times New Roman" w:cs="Times New Roman"/>
          <w:bCs/>
          <w:color w:val="000000" w:themeColor="text1"/>
          <w:u w:val="none"/>
          <w14:textFill>
            <w14:solidFill>
              <w14:schemeClr w14:val="tx1"/>
            </w14:solidFill>
          </w14:textFill>
        </w:rPr>
      </w:pPr>
    </w:p>
    <w:p w14:paraId="5A3BDE99">
      <w:pPr>
        <w:pStyle w:val="16"/>
        <w:rPr>
          <w:rFonts w:ascii="楷体" w:hAnsi="楷体" w:eastAsia="楷体_GB2312" w:cs="楷体"/>
          <w:b/>
          <w:color w:val="000000" w:themeColor="text1"/>
          <w:sz w:val="32"/>
          <w:szCs w:val="32"/>
          <w:u w:val="none"/>
          <w14:textFill>
            <w14:solidFill>
              <w14:schemeClr w14:val="tx1"/>
            </w14:solidFill>
          </w14:textFill>
        </w:rPr>
      </w:pPr>
      <w:r>
        <w:rPr>
          <w:rFonts w:hint="eastAsia" w:ascii="楷体" w:hAnsi="楷体" w:eastAsia="楷体_GB2312" w:cs="楷体"/>
          <w:b/>
          <w:color w:val="000000" w:themeColor="text1"/>
          <w:sz w:val="32"/>
          <w:szCs w:val="32"/>
          <w:u w:val="none"/>
          <w14:textFill>
            <w14:solidFill>
              <w14:schemeClr w14:val="tx1"/>
            </w14:solidFill>
          </w14:textFill>
        </w:rPr>
        <w:t>（</w:t>
      </w:r>
      <w:r>
        <w:rPr>
          <w:rFonts w:hint="eastAsia" w:ascii="楷体" w:hAnsi="楷体" w:eastAsia="楷体_GB2312" w:cs="楷体"/>
          <w:b/>
          <w:color w:val="000000" w:themeColor="text1"/>
          <w:sz w:val="32"/>
          <w:szCs w:val="32"/>
          <w:u w:val="none"/>
          <w:lang w:val="en-US" w:eastAsia="zh-CN"/>
          <w14:textFill>
            <w14:solidFill>
              <w14:schemeClr w14:val="tx1"/>
            </w14:solidFill>
          </w14:textFill>
        </w:rPr>
        <w:t>征求意见稿</w:t>
      </w:r>
      <w:r>
        <w:rPr>
          <w:rFonts w:hint="eastAsia" w:ascii="楷体" w:hAnsi="楷体" w:eastAsia="楷体_GB2312" w:cs="楷体"/>
          <w:b/>
          <w:color w:val="000000" w:themeColor="text1"/>
          <w:sz w:val="32"/>
          <w:szCs w:val="32"/>
          <w:u w:val="none"/>
          <w14:textFill>
            <w14:solidFill>
              <w14:schemeClr w14:val="tx1"/>
            </w14:solidFill>
          </w14:textFill>
        </w:rPr>
        <w:t>）</w:t>
      </w:r>
    </w:p>
    <w:p w14:paraId="39F9CC20">
      <w:pPr>
        <w:ind w:firstLine="0" w:firstLineChars="0"/>
        <w:rPr>
          <w:color w:val="000000" w:themeColor="text1"/>
          <w:u w:val="none"/>
          <w14:textFill>
            <w14:solidFill>
              <w14:schemeClr w14:val="tx1"/>
            </w14:solidFill>
          </w14:textFill>
        </w:rPr>
      </w:pPr>
    </w:p>
    <w:p w14:paraId="45EC9387">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第一条</w:t>
      </w:r>
      <w:r>
        <w:rPr>
          <w:color w:val="000000" w:themeColor="text1"/>
          <w:u w:val="none"/>
          <w14:textFill>
            <w14:solidFill>
              <w14:schemeClr w14:val="tx1"/>
            </w14:solidFill>
          </w14:textFill>
        </w:rPr>
        <w:t xml:space="preserve"> 为贯彻落实国务院办公厅《关于创新完善体制机制推动招标投标市场规范健康发展的意见》（国办发〔2024〕21号）关于“加强招标采购与非招标采购的衔接，支持以工代赈、村庄建设、造林种草等领域项目采用灵活方式发包”要求，深入落实《国家以工代赈管理办法》（国家发展改革委2023年第57号令）</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《进一步坚守“赈”的初心 充分发挥以工代赈政策功能的意见》（发改振兴〔2021〕1852号）</w:t>
      </w:r>
      <w:r>
        <w:rPr>
          <w:rFonts w:hint="eastAsia"/>
          <w:color w:val="000000" w:themeColor="text1"/>
          <w:u w:val="none"/>
          <w14:textFill>
            <w14:solidFill>
              <w14:schemeClr w14:val="tx1"/>
            </w14:solidFill>
          </w14:textFill>
        </w:rPr>
        <w:t>、《关于村庄建设项目施行简易审批的指导意见》（发改农经</w:t>
      </w:r>
      <w:r>
        <w:rPr>
          <w:color w:val="000000" w:themeColor="text1"/>
          <w:u w:val="none"/>
          <w14:textFill>
            <w14:solidFill>
              <w14:schemeClr w14:val="tx1"/>
            </w14:solidFill>
          </w14:textFill>
        </w:rPr>
        <w:t>〔202</w:t>
      </w:r>
      <w:r>
        <w:rPr>
          <w:rFonts w:hint="eastAsia"/>
          <w:color w:val="000000" w:themeColor="text1"/>
          <w:u w:val="none"/>
          <w14:textFill>
            <w14:solidFill>
              <w14:schemeClr w14:val="tx1"/>
            </w14:solidFill>
          </w14:textFill>
        </w:rPr>
        <w:t>0</w:t>
      </w:r>
      <w:r>
        <w:rPr>
          <w:color w:val="000000" w:themeColor="text1"/>
          <w:u w:val="none"/>
          <w14:textFill>
            <w14:solidFill>
              <w14:schemeClr w14:val="tx1"/>
            </w14:solidFill>
          </w14:textFill>
        </w:rPr>
        <w:t>〕</w:t>
      </w:r>
      <w:r>
        <w:rPr>
          <w:rFonts w:hint="eastAsia"/>
          <w:color w:val="000000" w:themeColor="text1"/>
          <w:u w:val="none"/>
          <w14:textFill>
            <w14:solidFill>
              <w14:schemeClr w14:val="tx1"/>
            </w14:solidFill>
          </w14:textFill>
        </w:rPr>
        <w:t>1337</w:t>
      </w:r>
      <w:r>
        <w:rPr>
          <w:color w:val="000000" w:themeColor="text1"/>
          <w:u w:val="none"/>
          <w14:textFill>
            <w14:solidFill>
              <w14:schemeClr w14:val="tx1"/>
            </w14:solidFill>
          </w14:textFill>
        </w:rPr>
        <w:t>号</w:t>
      </w:r>
      <w:r>
        <w:rPr>
          <w:rFonts w:hint="eastAsia"/>
          <w:color w:val="000000" w:themeColor="text1"/>
          <w:u w:val="none"/>
          <w14:textFill>
            <w14:solidFill>
              <w14:schemeClr w14:val="tx1"/>
            </w14:solidFill>
          </w14:textFill>
        </w:rPr>
        <w:t>）等国家及我省相关文件要求</w:t>
      </w:r>
      <w:r>
        <w:rPr>
          <w:color w:val="000000" w:themeColor="text1"/>
          <w:u w:val="none"/>
          <w14:textFill>
            <w14:solidFill>
              <w14:schemeClr w14:val="tx1"/>
            </w14:solidFill>
          </w14:textFill>
        </w:rPr>
        <w:t>，推动全省以工代赈项目采用灵活方式发包，更加充分、直接地组织发动当地群众参与工程建设，更大程度发挥以工代赈政策效益，特制定本办法。</w:t>
      </w:r>
    </w:p>
    <w:p w14:paraId="7E21A049">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第二条</w:t>
      </w:r>
      <w:r>
        <w:rPr>
          <w:rFonts w:eastAsia="黑体"/>
          <w:color w:val="000000" w:themeColor="text1"/>
          <w:u w:val="none"/>
          <w14:textFill>
            <w14:solidFill>
              <w14:schemeClr w14:val="tx1"/>
            </w14:solidFill>
          </w14:textFill>
        </w:rPr>
        <w:t xml:space="preserve"> </w:t>
      </w:r>
      <w:r>
        <w:rPr>
          <w:color w:val="000000" w:themeColor="text1"/>
          <w:u w:val="none"/>
          <w14:textFill>
            <w14:solidFill>
              <w14:schemeClr w14:val="tx1"/>
            </w14:solidFill>
          </w14:textFill>
        </w:rPr>
        <w:t>以工代赈项目采用灵活方式发包要遵循以下原则：</w:t>
      </w:r>
    </w:p>
    <w:p w14:paraId="6C76CB9E">
      <w:pPr>
        <w:ind w:firstLine="653"/>
        <w:rPr>
          <w:color w:val="000000" w:themeColor="text1"/>
          <w:kern w:val="21"/>
          <w:u w:val="none"/>
          <w14:textFill>
            <w14:solidFill>
              <w14:schemeClr w14:val="tx1"/>
            </w14:solidFill>
          </w14:textFill>
        </w:rPr>
      </w:pPr>
      <w:r>
        <w:rPr>
          <w:b/>
          <w:bCs/>
          <w:color w:val="000000" w:themeColor="text1"/>
          <w:u w:val="none"/>
          <w14:textFill>
            <w14:solidFill>
              <w14:schemeClr w14:val="tx1"/>
            </w14:solidFill>
          </w14:textFill>
        </w:rPr>
        <w:t>（一）理解内涵，把握重点。</w:t>
      </w:r>
      <w:r>
        <w:rPr>
          <w:color w:val="000000" w:themeColor="text1"/>
          <w:u w:val="none"/>
          <w14:textFill>
            <w14:solidFill>
              <w14:schemeClr w14:val="tx1"/>
            </w14:solidFill>
          </w14:textFill>
        </w:rPr>
        <w:t>要充分理解把握新时期以工代赈政策内涵，以工代赈项目采用灵活方式发包是要</w:t>
      </w:r>
      <w:r>
        <w:rPr>
          <w:color w:val="000000" w:themeColor="text1"/>
          <w:kern w:val="21"/>
          <w:u w:val="none"/>
          <w14:textFill>
            <w14:solidFill>
              <w14:schemeClr w14:val="tx1"/>
            </w14:solidFill>
          </w14:textFill>
        </w:rPr>
        <w:t>打破思维惯性、破除利益藩篱，工作重点是积极</w:t>
      </w:r>
      <w:r>
        <w:rPr>
          <w:color w:val="000000" w:themeColor="text1"/>
          <w:u w:val="none"/>
          <w14:textFill>
            <w14:solidFill>
              <w14:schemeClr w14:val="tx1"/>
            </w14:solidFill>
          </w14:textFill>
        </w:rPr>
        <w:t>培育壮大县乡两级政府领办的乡村建设公司、</w:t>
      </w:r>
      <w:r>
        <w:rPr>
          <w:color w:val="000000" w:themeColor="text1"/>
          <w:kern w:val="21"/>
          <w:u w:val="none"/>
          <w:lang w:bidi="ar"/>
          <w14:textFill>
            <w14:solidFill>
              <w14:schemeClr w14:val="tx1"/>
            </w14:solidFill>
          </w14:textFill>
        </w:rPr>
        <w:t>劳务公司</w:t>
      </w:r>
      <w:r>
        <w:rPr>
          <w:color w:val="000000" w:themeColor="text1"/>
          <w:u w:val="none"/>
          <w14:textFill>
            <w14:solidFill>
              <w14:schemeClr w14:val="tx1"/>
            </w14:solidFill>
          </w14:textFill>
        </w:rPr>
        <w:t>或村集体经济组织领办的村级劳务合作社、劳务公司、项目理事会等劳务组织主体，</w:t>
      </w:r>
      <w:r>
        <w:rPr>
          <w:rFonts w:hint="eastAsia"/>
          <w:color w:val="000000" w:themeColor="text1"/>
          <w:kern w:val="21"/>
          <w:u w:val="none"/>
          <w14:textFill>
            <w14:solidFill>
              <w14:schemeClr w14:val="tx1"/>
            </w14:solidFill>
          </w14:textFill>
        </w:rPr>
        <w:t>直接</w:t>
      </w:r>
      <w:r>
        <w:rPr>
          <w:color w:val="000000" w:themeColor="text1"/>
          <w:kern w:val="21"/>
          <w:u w:val="none"/>
          <w14:textFill>
            <w14:solidFill>
              <w14:schemeClr w14:val="tx1"/>
            </w14:solidFill>
          </w14:textFill>
        </w:rPr>
        <w:t>组织动员当地群众参与工程建设，</w:t>
      </w:r>
      <w:r>
        <w:rPr>
          <w:color w:val="000000" w:themeColor="text1"/>
          <w:u w:val="none"/>
          <w14:textFill>
            <w14:solidFill>
              <w14:schemeClr w14:val="tx1"/>
            </w14:solidFill>
          </w14:textFill>
        </w:rPr>
        <w:t>让群众真正知情、参与和受益，</w:t>
      </w:r>
      <w:r>
        <w:rPr>
          <w:color w:val="000000" w:themeColor="text1"/>
          <w:kern w:val="21"/>
          <w:u w:val="none"/>
          <w14:textFill>
            <w14:solidFill>
              <w14:schemeClr w14:val="tx1"/>
            </w14:solidFill>
          </w14:textFill>
        </w:rPr>
        <w:t>更大程度发挥以工代赈政策效益。</w:t>
      </w:r>
    </w:p>
    <w:p w14:paraId="2A76CA6B">
      <w:pPr>
        <w:ind w:firstLine="653"/>
        <w:rPr>
          <w:color w:val="000000" w:themeColor="text1"/>
          <w:u w:val="none"/>
          <w14:textFill>
            <w14:solidFill>
              <w14:schemeClr w14:val="tx1"/>
            </w14:solidFill>
          </w14:textFill>
        </w:rPr>
      </w:pPr>
      <w:r>
        <w:rPr>
          <w:b/>
          <w:bCs/>
          <w:color w:val="000000" w:themeColor="text1"/>
          <w:u w:val="none"/>
          <w14:textFill>
            <w14:solidFill>
              <w14:schemeClr w14:val="tx1"/>
            </w14:solidFill>
          </w14:textFill>
        </w:rPr>
        <w:t>（二）守正创新，制度先行。</w:t>
      </w:r>
      <w:r>
        <w:rPr>
          <w:color w:val="000000" w:themeColor="text1"/>
          <w:u w:val="none"/>
          <w14:textFill>
            <w14:solidFill>
              <w14:schemeClr w14:val="tx1"/>
            </w14:solidFill>
          </w14:textFill>
        </w:rPr>
        <w:t>要熟悉掌握新时期以工代赈政策要求、管理规范等，坚持守正创新，注意结合当地实际，优化完善相关工作指南等，并根据工作需要及时调整修正，牢牢把住项目承建程序关、群众务工关、资金使用关、工程质量关，让以工代赈项目采用灵活方式发包工作依规而行、有章可循，确保经得起各方面监督检查。</w:t>
      </w:r>
    </w:p>
    <w:p w14:paraId="177A53A7">
      <w:pPr>
        <w:ind w:firstLine="653"/>
        <w:rPr>
          <w:color w:val="000000" w:themeColor="text1"/>
          <w:u w:val="none"/>
          <w14:textFill>
            <w14:solidFill>
              <w14:schemeClr w14:val="tx1"/>
            </w14:solidFill>
          </w14:textFill>
        </w:rPr>
      </w:pPr>
      <w:r>
        <w:rPr>
          <w:b/>
          <w:bCs/>
          <w:color w:val="000000" w:themeColor="text1"/>
          <w:u w:val="none"/>
          <w14:textFill>
            <w14:solidFill>
              <w14:schemeClr w14:val="tx1"/>
            </w14:solidFill>
          </w14:textFill>
        </w:rPr>
        <w:t>（三）因地制宜，试点先行。</w:t>
      </w:r>
      <w:r>
        <w:rPr>
          <w:color w:val="000000" w:themeColor="text1"/>
          <w:u w:val="none"/>
          <w14:textFill>
            <w14:solidFill>
              <w14:schemeClr w14:val="tx1"/>
            </w14:solidFill>
          </w14:textFill>
        </w:rPr>
        <w:t>要结合当地实际，或每市选择若干试点县，或每县选择若干试点项目，在确保项目承接主体、组织务工方案、管理流程等科学完善的前提下开展试点工作，逐步推广实施。严禁以不招标的幌子搞利益输送、优亲厚友。暂不具备简化发包程序的，也可以继续公开招标，但要探索采取“中标施工企业+镇村两级劳务公司（合作社、理事会）”等方式，将项目劳务外包给劳务组织主体，确保基层政府主导当地群众务工组织工作。</w:t>
      </w:r>
    </w:p>
    <w:p w14:paraId="3838FA20">
      <w:pPr>
        <w:ind w:firstLine="653"/>
        <w:rPr>
          <w:color w:val="000000" w:themeColor="text1"/>
          <w:u w:val="none"/>
          <w14:textFill>
            <w14:solidFill>
              <w14:schemeClr w14:val="tx1"/>
            </w14:solidFill>
          </w14:textFill>
        </w:rPr>
      </w:pPr>
      <w:r>
        <w:rPr>
          <w:b/>
          <w:bCs/>
          <w:color w:val="000000" w:themeColor="text1"/>
          <w:u w:val="none"/>
          <w14:textFill>
            <w14:solidFill>
              <w14:schemeClr w14:val="tx1"/>
            </w14:solidFill>
          </w14:textFill>
        </w:rPr>
        <w:t>（四）优化流程，加强监督。</w:t>
      </w:r>
      <w:r>
        <w:rPr>
          <w:color w:val="000000" w:themeColor="text1"/>
          <w:u w:val="none"/>
          <w14:textFill>
            <w14:solidFill>
              <w14:schemeClr w14:val="tx1"/>
            </w14:solidFill>
          </w14:textFill>
        </w:rPr>
        <w:t>要按照《关于村庄建设项目实行简易审批的指导意见》（发改农经〔2020〕1337号）等有关要求，持续优化审批程序、简化报批内容、改进审批方式，推动以工代赈项目可研报告（或实施方案，下同）达到初步设计深度，同步办理立项审批和财政评审，或依据《山西省预算评审管理办法》等规定，对符合要求的项目不再进行财政评审。要加强与纪检监察、审计部门沟通对接，自觉主动接受监督。要严格执行公示公告制度，及时公开项目实施全过程的相关信息，充分保障群众的知情权、参与权、监督权。</w:t>
      </w:r>
    </w:p>
    <w:p w14:paraId="51DB8B55">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第三条</w:t>
      </w:r>
      <w:r>
        <w:rPr>
          <w:color w:val="000000" w:themeColor="text1"/>
          <w:u w:val="none"/>
          <w14:textFill>
            <w14:solidFill>
              <w14:schemeClr w14:val="tx1"/>
            </w14:solidFill>
          </w14:textFill>
        </w:rPr>
        <w:t xml:space="preserve"> 本办法所称以工代赈项目是指使用以工代赈中央预算内投资、中央财政衔接推进乡村振兴补助资金（以工代赈任务方向）、省级财政衔接推进乡村振兴补助资金（以工代赈任务方向）实施的以工代赈专项资金项目，不包括在重点工程和农业农村基础设施建设领域中推广以工代赈方式的项目。</w:t>
      </w:r>
    </w:p>
    <w:p w14:paraId="4E14977A">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第四条</w:t>
      </w:r>
      <w:r>
        <w:rPr>
          <w:rFonts w:eastAsia="黑体"/>
          <w:color w:val="000000" w:themeColor="text1"/>
          <w:u w:val="none"/>
          <w14:textFill>
            <w14:solidFill>
              <w14:schemeClr w14:val="tx1"/>
            </w14:solidFill>
          </w14:textFill>
        </w:rPr>
        <w:t xml:space="preserve"> </w:t>
      </w:r>
      <w:r>
        <w:rPr>
          <w:color w:val="000000" w:themeColor="text1"/>
          <w:u w:val="none"/>
          <w14:textFill>
            <w14:solidFill>
              <w14:schemeClr w14:val="tx1"/>
            </w14:solidFill>
          </w14:textFill>
        </w:rPr>
        <w:t>项目业主单位是以工代赈项目的发包主体，负责推动项目落实以工代赈政策要求。</w:t>
      </w:r>
    </w:p>
    <w:p w14:paraId="2468E308">
      <w:pPr>
        <w:rPr>
          <w:color w:val="000000" w:themeColor="text1"/>
          <w:u w:val="none"/>
          <w14:textFill>
            <w14:solidFill>
              <w14:schemeClr w14:val="tx1"/>
            </w14:solidFill>
          </w14:textFill>
        </w:rPr>
      </w:pPr>
      <w:r>
        <w:rPr>
          <w:color w:val="000000" w:themeColor="text1"/>
          <w:u w:val="none"/>
          <w14:textFill>
            <w14:solidFill>
              <w14:schemeClr w14:val="tx1"/>
            </w14:solidFill>
          </w14:textFill>
        </w:rPr>
        <w:t>项目业主单位一般为乡镇政府和村民委员会、农村集体经济组织等，原则上不支持县级行业部门作为项目业主单位。项目可行性研究报告中要明确项目业主单位。</w:t>
      </w:r>
    </w:p>
    <w:p w14:paraId="5848F340">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第五条</w:t>
      </w:r>
      <w:r>
        <w:rPr>
          <w:color w:val="000000" w:themeColor="text1"/>
          <w:u w:val="none"/>
          <w14:textFill>
            <w14:solidFill>
              <w14:schemeClr w14:val="tx1"/>
            </w14:solidFill>
          </w14:textFill>
        </w:rPr>
        <w:t xml:space="preserve"> 项目施工单位是以工代赈项目的承包主体，负责项目建设的组织实施工作，配合项目业主单位做好群众务工组织、劳务报酬发放、技能培训、项目资料收集、竣工验收等工作。</w:t>
      </w:r>
    </w:p>
    <w:p w14:paraId="2B6106E0">
      <w:pPr>
        <w:rPr>
          <w:color w:val="000000" w:themeColor="text1"/>
          <w:kern w:val="21"/>
          <w:u w:val="none"/>
          <w:lang w:bidi="ar"/>
          <w14:textFill>
            <w14:solidFill>
              <w14:schemeClr w14:val="tx1"/>
            </w14:solidFill>
          </w14:textFill>
        </w:rPr>
      </w:pPr>
      <w:r>
        <w:rPr>
          <w:color w:val="000000" w:themeColor="text1"/>
          <w:u w:val="none"/>
          <w14:textFill>
            <w14:solidFill>
              <w14:schemeClr w14:val="tx1"/>
            </w14:solidFill>
          </w14:textFill>
        </w:rPr>
        <w:t>项目施工单位为项目中标人、成交供应商，以及通过其他方式确定的</w:t>
      </w:r>
      <w:r>
        <w:rPr>
          <w:color w:val="000000" w:themeColor="text1"/>
          <w:kern w:val="21"/>
          <w:u w:val="none"/>
          <w:lang w:bidi="ar"/>
          <w14:textFill>
            <w14:solidFill>
              <w14:schemeClr w14:val="tx1"/>
            </w14:solidFill>
          </w14:textFill>
        </w:rPr>
        <w:t>县乡两级政府领办的乡村建设公司、劳务公司或村集体经济组织领办的村级劳务合作社、劳务公司、项目理事会等。</w:t>
      </w:r>
    </w:p>
    <w:p w14:paraId="35DE0491">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第六条</w:t>
      </w:r>
      <w:r>
        <w:rPr>
          <w:rFonts w:hint="eastAsia"/>
          <w:color w:val="000000" w:themeColor="text1"/>
          <w:u w:val="none"/>
          <w14:textFill>
            <w14:solidFill>
              <w14:schemeClr w14:val="tx1"/>
            </w14:solidFill>
          </w14:textFill>
        </w:rPr>
        <w:t xml:space="preserve"> 依法不进行招标的以工代赈项目，属于政府采购的，应采用政府采购中的竞争性谈判、竞争性磋商、单一来源采购等非招标采购方式实施；不属于政府采购的，可采用村民自建确定项目施工单位。</w:t>
      </w:r>
    </w:p>
    <w:p w14:paraId="7F47E4DC">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第七条</w:t>
      </w:r>
      <w:r>
        <w:rPr>
          <w:rFonts w:eastAsia="黑体"/>
          <w:color w:val="000000" w:themeColor="text1"/>
          <w:u w:val="none"/>
          <w14:textFill>
            <w14:solidFill>
              <w14:schemeClr w14:val="tx1"/>
            </w14:solidFill>
          </w14:textFill>
        </w:rPr>
        <w:t xml:space="preserve"> </w:t>
      </w:r>
      <w:r>
        <w:rPr>
          <w:rFonts w:hint="eastAsia"/>
          <w:color w:val="000000" w:themeColor="text1"/>
          <w:u w:val="none"/>
          <w14:textFill>
            <w14:solidFill>
              <w14:schemeClr w14:val="tx1"/>
            </w14:solidFill>
          </w14:textFill>
        </w:rPr>
        <w:t>采用政府采购中的竞争性谈判、竞争性磋商、单一来源采购等非招标采购方式实施以工代赈项目，适用于乡镇政府作为业主单位的以工代赈项目</w:t>
      </w:r>
      <w:r>
        <w:rPr>
          <w:color w:val="000000" w:themeColor="text1"/>
          <w:u w:val="none"/>
          <w14:textFill>
            <w14:solidFill>
              <w14:schemeClr w14:val="tx1"/>
            </w14:solidFill>
          </w14:textFill>
        </w:rPr>
        <w:t>。</w:t>
      </w:r>
      <w:r>
        <w:rPr>
          <w:rFonts w:hint="eastAsia"/>
          <w:color w:val="000000" w:themeColor="text1"/>
          <w:u w:val="none"/>
          <w14:textFill>
            <w14:solidFill>
              <w14:schemeClr w14:val="tx1"/>
            </w14:solidFill>
          </w14:textFill>
        </w:rPr>
        <w:t>各</w:t>
      </w:r>
      <w:r>
        <w:rPr>
          <w:color w:val="000000" w:themeColor="text1"/>
          <w:u w:val="none"/>
          <w14:textFill>
            <w14:solidFill>
              <w14:schemeClr w14:val="tx1"/>
            </w14:solidFill>
          </w14:textFill>
        </w:rPr>
        <w:t>市、县发展改革部门和财政部门要指导项目业主单位，按照《中华人民共和国政府采购法》《中华人民共和国政府采购法实施条例》《政府采购非招标采购方式管理办法》等法律法规规章执行政府采购，在编制采购文件中明确落实以工代赈政策有关要求，作为供应商响应的实质性要求（附件1），并主动向供应商介绍以工代赈政策，提供以工代赈政策相关资料，明确告知供应商需吸纳项目所在乡镇为主的群众参与项目工程建设，以及项目需发放劳务报酬的最低额度。</w:t>
      </w:r>
    </w:p>
    <w:p w14:paraId="7DBD2029">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w:t>
      </w:r>
      <w:r>
        <w:rPr>
          <w:rStyle w:val="28"/>
          <w:rFonts w:hint="eastAsia" w:ascii="Times New Roman" w:hAnsi="Times New Roman" w:eastAsia="楷体_GB2312"/>
          <w:b/>
          <w:color w:val="000000" w:themeColor="text1"/>
          <w:u w:val="none"/>
          <w14:textFill>
            <w14:solidFill>
              <w14:schemeClr w14:val="tx1"/>
            </w14:solidFill>
          </w14:textFill>
        </w:rPr>
        <w:t>八</w:t>
      </w:r>
      <w:r>
        <w:rPr>
          <w:rStyle w:val="28"/>
          <w:rFonts w:ascii="Times New Roman" w:hAnsi="Times New Roman" w:eastAsia="楷体_GB2312"/>
          <w:b/>
          <w:color w:val="000000" w:themeColor="text1"/>
          <w:u w:val="none"/>
          <w14:textFill>
            <w14:solidFill>
              <w14:schemeClr w14:val="tx1"/>
            </w14:solidFill>
          </w14:textFill>
        </w:rPr>
        <w:t>条</w:t>
      </w:r>
      <w:r>
        <w:rPr>
          <w:color w:val="000000" w:themeColor="text1"/>
          <w:u w:val="none"/>
          <w14:textFill>
            <w14:solidFill>
              <w14:schemeClr w14:val="tx1"/>
            </w14:solidFill>
          </w14:textFill>
        </w:rPr>
        <w:t xml:space="preserve"> </w:t>
      </w:r>
      <w:r>
        <w:rPr>
          <w:rFonts w:hint="eastAsia"/>
          <w:color w:val="000000" w:themeColor="text1"/>
          <w:u w:val="none"/>
          <w14:textFill>
            <w14:solidFill>
              <w14:schemeClr w14:val="tx1"/>
            </w14:solidFill>
          </w14:textFill>
        </w:rPr>
        <w:t>采用</w:t>
      </w:r>
      <w:r>
        <w:rPr>
          <w:rFonts w:hint="eastAsia"/>
          <w:u w:val="none"/>
        </w:rPr>
        <w:t>村民自建方式实施以工代赈项目，适用于村民委员会或农村集体经济组织作为项目业主单位的项目。涉及多个村的项目，可由项目所在乡镇政府指定的承担主要建设任务的村民委员会作为业主单位。</w:t>
      </w:r>
      <w:r>
        <w:rPr>
          <w:rFonts w:hint="eastAsia"/>
          <w:u w:val="none"/>
        </w:rPr>
        <w:t>采用村民自建方式实施的以工代赈项目不限制项目总投资额，适用于所有投资规模的项目。</w:t>
      </w:r>
      <w:r>
        <w:rPr>
          <w:color w:val="000000" w:themeColor="text1"/>
          <w:u w:val="none"/>
          <w14:textFill>
            <w14:solidFill>
              <w14:schemeClr w14:val="tx1"/>
            </w14:solidFill>
          </w14:textFill>
        </w:rPr>
        <w:t>项目业主单位将以工代赈项目直接发包给经村民代表会议民主选举产生的项目理事会，充分调动广大农民群众直接参与项目建设的积极性、主动性，节约建设成本，有效监督项目实施，提升劳务报酬发放比例。采用村民自建方式实施的以工代赈项目应将财政评审与立项审批同步办理。各市、县发展改革部门可结合当地实际，优化完善《以工代赈项目村民自建工作指南》（附件2）相关内容和程序，无特殊情况可参照执行。</w:t>
      </w:r>
    </w:p>
    <w:p w14:paraId="4DBCAEFD">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w:t>
      </w:r>
      <w:r>
        <w:rPr>
          <w:rStyle w:val="28"/>
          <w:rFonts w:hint="eastAsia" w:ascii="Times New Roman" w:hAnsi="Times New Roman" w:eastAsia="楷体_GB2312"/>
          <w:b/>
          <w:color w:val="000000" w:themeColor="text1"/>
          <w:u w:val="none"/>
          <w14:textFill>
            <w14:solidFill>
              <w14:schemeClr w14:val="tx1"/>
            </w14:solidFill>
          </w14:textFill>
        </w:rPr>
        <w:t>九</w:t>
      </w:r>
      <w:r>
        <w:rPr>
          <w:rStyle w:val="28"/>
          <w:rFonts w:ascii="Times New Roman" w:hAnsi="Times New Roman" w:eastAsia="楷体_GB2312"/>
          <w:b/>
          <w:color w:val="000000" w:themeColor="text1"/>
          <w:u w:val="none"/>
          <w14:textFill>
            <w14:solidFill>
              <w14:schemeClr w14:val="tx1"/>
            </w14:solidFill>
          </w14:textFill>
        </w:rPr>
        <w:t>条</w:t>
      </w:r>
      <w:r>
        <w:rPr>
          <w:rFonts w:hint="eastAsia"/>
          <w:color w:val="000000" w:themeColor="text1"/>
          <w:u w:val="none"/>
          <w14:textFill>
            <w14:solidFill>
              <w14:schemeClr w14:val="tx1"/>
            </w14:solidFill>
          </w14:textFill>
        </w:rPr>
        <w:t xml:space="preserve"> </w:t>
      </w:r>
      <w:r>
        <w:rPr>
          <w:color w:val="000000" w:themeColor="text1"/>
          <w:u w:val="none"/>
          <w14:textFill>
            <w14:solidFill>
              <w14:schemeClr w14:val="tx1"/>
            </w14:solidFill>
          </w14:textFill>
        </w:rPr>
        <w:t>各市、县发展改革部门要督促指导项目业主单位和施工单位主动公开信息、接受社会监督。</w:t>
      </w:r>
      <w:r>
        <w:rPr>
          <w:rFonts w:hint="eastAsia"/>
          <w:color w:val="000000" w:themeColor="text1"/>
          <w:u w:val="none"/>
          <w14:textFill>
            <w14:solidFill>
              <w14:schemeClr w14:val="tx1"/>
            </w14:solidFill>
          </w14:textFill>
        </w:rPr>
        <w:t>采用政府采购的</w:t>
      </w:r>
      <w:r>
        <w:rPr>
          <w:color w:val="000000" w:themeColor="text1"/>
          <w:u w:val="none"/>
          <w14:textFill>
            <w14:solidFill>
              <w14:schemeClr w14:val="tx1"/>
            </w14:solidFill>
          </w14:textFill>
        </w:rPr>
        <w:t>以工代赈项目要严格按照政府采购有关规定进行公示公告</w:t>
      </w:r>
      <w:r>
        <w:rPr>
          <w:rFonts w:hint="eastAsia"/>
          <w:color w:val="000000" w:themeColor="text1"/>
          <w:u w:val="none"/>
          <w14:textFill>
            <w14:solidFill>
              <w14:schemeClr w14:val="tx1"/>
            </w14:solidFill>
          </w14:textFill>
        </w:rPr>
        <w:t>。采用村民自建的以工代赈项目应参考</w:t>
      </w:r>
      <w:r>
        <w:rPr>
          <w:color w:val="000000" w:themeColor="text1"/>
          <w:u w:val="none"/>
          <w14:textFill>
            <w14:solidFill>
              <w14:schemeClr w14:val="tx1"/>
            </w14:solidFill>
          </w14:textFill>
        </w:rPr>
        <w:t>政府采购有关规定，根据国家和我省以工代赈相关政策要求，在县政府网站、项目所在乡镇政务公开栏和村务公开栏等平台及时公示公告。</w:t>
      </w:r>
    </w:p>
    <w:p w14:paraId="4DF92183">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第十条</w:t>
      </w:r>
      <w:r>
        <w:rPr>
          <w:rFonts w:hint="eastAsia"/>
          <w:color w:val="000000" w:themeColor="text1"/>
          <w:u w:val="none"/>
          <w14:textFill>
            <w14:solidFill>
              <w14:schemeClr w14:val="tx1"/>
            </w14:solidFill>
          </w14:textFill>
        </w:rPr>
        <w:t xml:space="preserve"> 坚</w:t>
      </w:r>
      <w:r>
        <w:rPr>
          <w:color w:val="000000" w:themeColor="text1"/>
          <w:u w:val="none"/>
          <w14:textFill>
            <w14:solidFill>
              <w14:schemeClr w14:val="tx1"/>
            </w14:solidFill>
          </w14:textFill>
        </w:rPr>
        <w:t>持和完善“四议两公开”制度。涉及项目规划、建设等重要事项，应由村党组织提议，经村“两委”会议商议、党员大会审议、村民会议或村民代表会议决议，并及时公开决议和实施结果。要完善村党组织领导下的村民委员会、村务监督委员会、村集体经济组织推动实施机制。</w:t>
      </w:r>
    </w:p>
    <w:p w14:paraId="583230EF">
      <w:pPr>
        <w:ind w:firstLine="653"/>
        <w:rPr>
          <w:color w:val="000000" w:themeColor="text1"/>
          <w:u w:val="none"/>
          <w14:textFill>
            <w14:solidFill>
              <w14:schemeClr w14:val="tx1"/>
            </w14:solidFill>
          </w14:textFill>
        </w:rPr>
      </w:pPr>
      <w:r>
        <w:rPr>
          <w:rStyle w:val="28"/>
          <w:rFonts w:hint="eastAsia" w:ascii="Times New Roman" w:hAnsi="Times New Roman" w:eastAsia="楷体_GB2312"/>
          <w:b/>
          <w:u w:val="none"/>
        </w:rPr>
        <w:t>第十一条</w:t>
      </w:r>
      <w:r>
        <w:rPr>
          <w:rFonts w:hint="eastAsia"/>
          <w:color w:val="000000" w:themeColor="text1"/>
          <w:u w:val="none"/>
          <w14:textFill>
            <w14:solidFill>
              <w14:schemeClr w14:val="tx1"/>
            </w14:solidFill>
          </w14:textFill>
        </w:rPr>
        <w:t xml:space="preserve"> 严格把控项目工程质量与施工安全。关系人民群众生命财产安全的房屋建造类、桥梁类等技术难度较高的项目，不得采用灵活方式发包。通过成立县乡项目建设工作专班、委托第三方机构、聘请有资质的专业技术人员等方式，强化人员管理、技术指导、施工管理和质量监督，并严格落实安全防护措施。项目工程质量、施工安全实行“触发红线制”，一旦发现工程质量和施工安全问题，立即停工整改，确保工程质量和施工安全达标。</w:t>
      </w:r>
    </w:p>
    <w:p w14:paraId="7172F398">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第十</w:t>
      </w:r>
      <w:r>
        <w:rPr>
          <w:rStyle w:val="28"/>
          <w:rFonts w:hint="eastAsia" w:ascii="Times New Roman" w:hAnsi="Times New Roman" w:eastAsia="楷体_GB2312"/>
          <w:b/>
          <w:color w:val="000000" w:themeColor="text1"/>
          <w:u w:val="none"/>
          <w14:textFill>
            <w14:solidFill>
              <w14:schemeClr w14:val="tx1"/>
            </w14:solidFill>
          </w14:textFill>
        </w:rPr>
        <w:t>二</w:t>
      </w:r>
      <w:r>
        <w:rPr>
          <w:rStyle w:val="28"/>
          <w:rFonts w:ascii="Times New Roman" w:hAnsi="Times New Roman" w:eastAsia="楷体_GB2312"/>
          <w:b/>
          <w:color w:val="000000" w:themeColor="text1"/>
          <w:u w:val="none"/>
          <w14:textFill>
            <w14:solidFill>
              <w14:schemeClr w14:val="tx1"/>
            </w14:solidFill>
          </w14:textFill>
        </w:rPr>
        <w:t xml:space="preserve">条 </w:t>
      </w:r>
      <w:r>
        <w:rPr>
          <w:color w:val="000000" w:themeColor="text1"/>
          <w:u w:val="none"/>
          <w14:textFill>
            <w14:solidFill>
              <w14:schemeClr w14:val="tx1"/>
            </w14:solidFill>
          </w14:textFill>
        </w:rPr>
        <w:t>各级发展改革部门、财政部门和其他有关部门要对以工代赈项目发包、组织</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实施全过程进行监督检查。项目所在乡镇政府要承担项目管理主体职责和监督职责，推动项目严格落实国家和我省以工代赈相关政策要求。项目业主单位和施工单位要自觉接受监督检查，对监管部门指出的问题要积极整改，并及时向有关部门报送整改情况。</w:t>
      </w:r>
    </w:p>
    <w:p w14:paraId="0807E000">
      <w:pPr>
        <w:ind w:firstLine="653"/>
        <w:rPr>
          <w:color w:val="000000" w:themeColor="text1"/>
          <w:u w:val="none"/>
          <w14:textFill>
            <w14:solidFill>
              <w14:schemeClr w14:val="tx1"/>
            </w14:solidFill>
          </w14:textFill>
        </w:rPr>
      </w:pPr>
      <w:r>
        <w:rPr>
          <w:rStyle w:val="28"/>
          <w:rFonts w:ascii="Times New Roman" w:hAnsi="Times New Roman" w:eastAsia="楷体_GB2312"/>
          <w:b/>
          <w:color w:val="000000" w:themeColor="text1"/>
          <w:u w:val="none"/>
          <w14:textFill>
            <w14:solidFill>
              <w14:schemeClr w14:val="tx1"/>
            </w14:solidFill>
          </w14:textFill>
        </w:rPr>
        <w:t>第十</w:t>
      </w:r>
      <w:r>
        <w:rPr>
          <w:rStyle w:val="28"/>
          <w:rFonts w:hint="eastAsia" w:ascii="Times New Roman" w:hAnsi="Times New Roman" w:eastAsia="楷体_GB2312"/>
          <w:b/>
          <w:color w:val="000000" w:themeColor="text1"/>
          <w:u w:val="none"/>
          <w14:textFill>
            <w14:solidFill>
              <w14:schemeClr w14:val="tx1"/>
            </w14:solidFill>
          </w14:textFill>
        </w:rPr>
        <w:t>三</w:t>
      </w:r>
      <w:r>
        <w:rPr>
          <w:rStyle w:val="28"/>
          <w:rFonts w:ascii="Times New Roman" w:hAnsi="Times New Roman" w:eastAsia="楷体_GB2312"/>
          <w:b/>
          <w:color w:val="000000" w:themeColor="text1"/>
          <w:u w:val="none"/>
          <w14:textFill>
            <w14:solidFill>
              <w14:schemeClr w14:val="tx1"/>
            </w14:solidFill>
          </w14:textFill>
        </w:rPr>
        <w:t>条</w:t>
      </w:r>
      <w:r>
        <w:rPr>
          <w:color w:val="000000" w:themeColor="text1"/>
          <w:u w:val="none"/>
          <w14:textFill>
            <w14:solidFill>
              <w14:schemeClr w14:val="tx1"/>
            </w14:solidFill>
          </w14:textFill>
        </w:rPr>
        <w:t xml:space="preserve"> </w:t>
      </w:r>
      <w:r>
        <w:rPr>
          <w:rFonts w:hint="eastAsia"/>
          <w:color w:val="000000" w:themeColor="text1"/>
          <w:u w:val="none"/>
          <w14:textFill>
            <w14:solidFill>
              <w14:schemeClr w14:val="tx1"/>
            </w14:solidFill>
          </w14:textFill>
        </w:rPr>
        <w:t>法律、法规、规章和国家政策对以工代赈项目采用灵活方式发包实施办法有规定的，从其规定</w:t>
      </w:r>
      <w:r>
        <w:rPr>
          <w:color w:val="000000" w:themeColor="text1"/>
          <w:u w:val="none"/>
          <w14:textFill>
            <w14:solidFill>
              <w14:schemeClr w14:val="tx1"/>
            </w14:solidFill>
          </w14:textFill>
        </w:rPr>
        <w:t>。</w:t>
      </w:r>
    </w:p>
    <w:p w14:paraId="2A799A7C">
      <w:pPr>
        <w:ind w:firstLine="653"/>
        <w:rPr>
          <w:color w:val="000000" w:themeColor="text1"/>
          <w:u w:val="none"/>
          <w14:textFill>
            <w14:solidFill>
              <w14:schemeClr w14:val="tx1"/>
            </w14:solidFill>
          </w14:textFill>
        </w:rPr>
      </w:pPr>
      <w:r>
        <w:rPr>
          <w:rStyle w:val="28"/>
          <w:rFonts w:hint="eastAsia" w:eastAsia="楷体_GB2312" w:cstheme="minorBidi"/>
          <w:b/>
          <w:u w:val="none"/>
        </w:rPr>
        <w:t>第十四条</w:t>
      </w:r>
      <w:r>
        <w:rPr>
          <w:rFonts w:hint="eastAsia"/>
          <w:color w:val="000000" w:themeColor="text1"/>
          <w:u w:val="none"/>
          <w14:textFill>
            <w14:solidFill>
              <w14:schemeClr w14:val="tx1"/>
            </w14:solidFill>
          </w14:textFill>
        </w:rPr>
        <w:t xml:space="preserve"> 本办法自印发之日起施行，试行期两年。</w:t>
      </w:r>
    </w:p>
    <w:p w14:paraId="382BB959">
      <w:pPr>
        <w:rPr>
          <w:color w:val="000000" w:themeColor="text1"/>
          <w:u w:val="none"/>
          <w14:textFill>
            <w14:solidFill>
              <w14:schemeClr w14:val="tx1"/>
            </w14:solidFill>
          </w14:textFill>
        </w:rPr>
      </w:pPr>
    </w:p>
    <w:p w14:paraId="60C15B6D">
      <w:pPr>
        <w:rPr>
          <w:color w:val="000000" w:themeColor="text1"/>
          <w:u w:val="none"/>
          <w14:textFill>
            <w14:solidFill>
              <w14:schemeClr w14:val="tx1"/>
            </w14:solidFill>
          </w14:textFill>
        </w:rPr>
      </w:pPr>
      <w:r>
        <w:rPr>
          <w:color w:val="000000" w:themeColor="text1"/>
          <w:u w:val="none"/>
          <w14:textFill>
            <w14:solidFill>
              <w14:schemeClr w14:val="tx1"/>
            </w14:solidFill>
          </w14:textFill>
        </w:rPr>
        <w:t>附件：1.以工代赈项目政府采购单列条款（模板）</w:t>
      </w:r>
    </w:p>
    <w:p w14:paraId="11956A2C">
      <w:pPr>
        <w:ind w:firstLine="1600" w:firstLineChars="50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2</w:t>
      </w:r>
      <w:r>
        <w:rPr>
          <w:color w:val="000000" w:themeColor="text1"/>
          <w:u w:val="none"/>
          <w14:textFill>
            <w14:solidFill>
              <w14:schemeClr w14:val="tx1"/>
            </w14:solidFill>
          </w14:textFill>
        </w:rPr>
        <w:t>.以工代赈项目村民自建工作指南</w:t>
      </w:r>
    </w:p>
    <w:p w14:paraId="3A2C002F">
      <w:pPr>
        <w:rPr>
          <w:color w:val="000000" w:themeColor="text1"/>
          <w:u w:val="none"/>
          <w14:textFill>
            <w14:solidFill>
              <w14:schemeClr w14:val="tx1"/>
            </w14:solidFill>
          </w14:textFill>
        </w:rPr>
      </w:pPr>
      <w:r>
        <w:rPr>
          <w:color w:val="000000" w:themeColor="text1"/>
          <w:u w:val="none"/>
          <w14:textFill>
            <w14:solidFill>
              <w14:schemeClr w14:val="tx1"/>
            </w14:solidFill>
          </w14:textFill>
        </w:rPr>
        <w:br w:type="page"/>
      </w:r>
    </w:p>
    <w:p w14:paraId="4B942820">
      <w:pPr>
        <w:snapToGrid w:val="0"/>
        <w:spacing w:line="376" w:lineRule="auto"/>
        <w:ind w:firstLine="0" w:firstLineChars="0"/>
        <w:rPr>
          <w:rFonts w:ascii="黑体" w:hAnsi="黑体" w:eastAsia="黑体" w:cs="黑体"/>
          <w:kern w:val="21"/>
          <w:lang w:val="en"/>
        </w:rPr>
      </w:pPr>
      <w:r>
        <w:rPr>
          <w:rFonts w:hint="eastAsia" w:ascii="黑体" w:hAnsi="黑体" w:eastAsia="黑体" w:cs="黑体"/>
          <w:kern w:val="21"/>
        </w:rPr>
        <w:t>附件1</w:t>
      </w:r>
    </w:p>
    <w:p w14:paraId="6073FF07">
      <w:pPr>
        <w:snapToGrid w:val="0"/>
        <w:spacing w:line="376" w:lineRule="auto"/>
        <w:ind w:firstLine="0" w:firstLineChars="0"/>
        <w:rPr>
          <w:rFonts w:eastAsia="宋体"/>
          <w:kern w:val="21"/>
          <w:sz w:val="31"/>
          <w:szCs w:val="24"/>
        </w:rPr>
      </w:pPr>
    </w:p>
    <w:p w14:paraId="401B3205">
      <w:pPr>
        <w:ind w:firstLine="88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以工代赈项目政府采购单列条款（模板）</w:t>
      </w:r>
    </w:p>
    <w:p w14:paraId="70B2EF5E"/>
    <w:p w14:paraId="32F3B055">
      <w:pPr>
        <w:outlineLvl w:val="0"/>
        <w:rPr>
          <w:rFonts w:eastAsia="黑体"/>
          <w:kern w:val="44"/>
          <w:szCs w:val="44"/>
        </w:rPr>
      </w:pPr>
      <w:r>
        <w:rPr>
          <w:rFonts w:eastAsia="黑体"/>
          <w:kern w:val="44"/>
          <w:szCs w:val="44"/>
        </w:rPr>
        <w:t>一、采购须知：供应商须知附表</w:t>
      </w:r>
    </w:p>
    <w:tbl>
      <w:tblPr>
        <w:tblStyle w:val="1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042"/>
        <w:gridCol w:w="4827"/>
      </w:tblGrid>
      <w:tr w14:paraId="021B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1" w:type="dxa"/>
            <w:vAlign w:val="center"/>
          </w:tcPr>
          <w:p w14:paraId="27628C93">
            <w:pPr>
              <w:snapToGrid w:val="0"/>
              <w:spacing w:line="500" w:lineRule="exact"/>
              <w:ind w:firstLine="0" w:firstLineChars="0"/>
              <w:jc w:val="center"/>
              <w:rPr>
                <w:rFonts w:eastAsia="黑体"/>
                <w:kern w:val="21"/>
                <w:sz w:val="31"/>
                <w:szCs w:val="24"/>
              </w:rPr>
            </w:pPr>
            <w:r>
              <w:rPr>
                <w:rFonts w:eastAsia="黑体"/>
                <w:kern w:val="21"/>
                <w:sz w:val="31"/>
                <w:szCs w:val="24"/>
              </w:rPr>
              <w:t>序号</w:t>
            </w:r>
          </w:p>
        </w:tc>
        <w:tc>
          <w:tcPr>
            <w:tcW w:w="3042" w:type="dxa"/>
            <w:vAlign w:val="center"/>
          </w:tcPr>
          <w:p w14:paraId="52933462">
            <w:pPr>
              <w:snapToGrid w:val="0"/>
              <w:spacing w:line="500" w:lineRule="exact"/>
              <w:ind w:firstLine="0" w:firstLineChars="0"/>
              <w:jc w:val="center"/>
              <w:rPr>
                <w:rFonts w:eastAsia="黑体"/>
                <w:kern w:val="21"/>
                <w:sz w:val="31"/>
                <w:szCs w:val="24"/>
              </w:rPr>
            </w:pPr>
            <w:r>
              <w:rPr>
                <w:rFonts w:eastAsia="黑体"/>
                <w:kern w:val="21"/>
                <w:sz w:val="31"/>
                <w:szCs w:val="24"/>
              </w:rPr>
              <w:t>应知事项</w:t>
            </w:r>
          </w:p>
        </w:tc>
        <w:tc>
          <w:tcPr>
            <w:tcW w:w="4827" w:type="dxa"/>
            <w:vAlign w:val="center"/>
          </w:tcPr>
          <w:p w14:paraId="3EFDC239">
            <w:pPr>
              <w:snapToGrid w:val="0"/>
              <w:spacing w:line="500" w:lineRule="exact"/>
              <w:ind w:firstLine="0" w:firstLineChars="0"/>
              <w:jc w:val="center"/>
              <w:rPr>
                <w:rFonts w:eastAsia="黑体"/>
                <w:kern w:val="21"/>
                <w:sz w:val="31"/>
                <w:szCs w:val="24"/>
              </w:rPr>
            </w:pPr>
            <w:r>
              <w:rPr>
                <w:rFonts w:eastAsia="黑体"/>
                <w:kern w:val="21"/>
                <w:sz w:val="31"/>
                <w:szCs w:val="24"/>
              </w:rPr>
              <w:t>说明和要求</w:t>
            </w:r>
          </w:p>
        </w:tc>
      </w:tr>
      <w:tr w14:paraId="46E0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14:paraId="2C2D405E">
            <w:pPr>
              <w:snapToGrid w:val="0"/>
              <w:spacing w:line="500" w:lineRule="exact"/>
              <w:ind w:firstLine="0" w:firstLineChars="0"/>
              <w:jc w:val="center"/>
              <w:rPr>
                <w:kern w:val="21"/>
              </w:rPr>
            </w:pPr>
            <w:r>
              <w:rPr>
                <w:kern w:val="21"/>
              </w:rPr>
              <w:t>××</w:t>
            </w:r>
          </w:p>
        </w:tc>
        <w:tc>
          <w:tcPr>
            <w:tcW w:w="3042" w:type="dxa"/>
            <w:vAlign w:val="center"/>
          </w:tcPr>
          <w:p w14:paraId="195593C9">
            <w:pPr>
              <w:snapToGrid w:val="0"/>
              <w:spacing w:line="500" w:lineRule="exact"/>
              <w:ind w:firstLine="0" w:firstLineChars="0"/>
              <w:jc w:val="center"/>
              <w:rPr>
                <w:kern w:val="21"/>
              </w:rPr>
            </w:pPr>
            <w:r>
              <w:rPr>
                <w:kern w:val="21"/>
              </w:rPr>
              <w:t>群众务工组织</w:t>
            </w:r>
          </w:p>
          <w:p w14:paraId="7C633BBF">
            <w:pPr>
              <w:snapToGrid w:val="0"/>
              <w:spacing w:line="500" w:lineRule="exact"/>
              <w:ind w:firstLine="0" w:firstLineChars="0"/>
              <w:jc w:val="center"/>
              <w:rPr>
                <w:kern w:val="21"/>
              </w:rPr>
            </w:pPr>
            <w:r>
              <w:rPr>
                <w:kern w:val="21"/>
              </w:rPr>
              <w:t>（实质性要求）</w:t>
            </w:r>
          </w:p>
        </w:tc>
        <w:tc>
          <w:tcPr>
            <w:tcW w:w="4827" w:type="dxa"/>
            <w:vAlign w:val="center"/>
          </w:tcPr>
          <w:p w14:paraId="6B5ABCF8">
            <w:pPr>
              <w:snapToGrid w:val="0"/>
              <w:spacing w:line="500" w:lineRule="exact"/>
              <w:ind w:firstLine="0" w:firstLineChars="0"/>
              <w:jc w:val="left"/>
              <w:rPr>
                <w:kern w:val="21"/>
              </w:rPr>
            </w:pPr>
            <w:r>
              <w:rPr>
                <w:kern w:val="21"/>
              </w:rPr>
              <w:t>吸纳××乡镇为主的群众参与工程项目建设。</w:t>
            </w:r>
          </w:p>
        </w:tc>
      </w:tr>
      <w:tr w14:paraId="4274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14:paraId="5381F9AE">
            <w:pPr>
              <w:snapToGrid w:val="0"/>
              <w:spacing w:line="500" w:lineRule="exact"/>
              <w:ind w:firstLine="0" w:firstLineChars="0"/>
              <w:jc w:val="center"/>
              <w:rPr>
                <w:kern w:val="21"/>
              </w:rPr>
            </w:pPr>
            <w:r>
              <w:rPr>
                <w:kern w:val="21"/>
              </w:rPr>
              <w:t>××</w:t>
            </w:r>
          </w:p>
        </w:tc>
        <w:tc>
          <w:tcPr>
            <w:tcW w:w="3042" w:type="dxa"/>
            <w:vAlign w:val="center"/>
          </w:tcPr>
          <w:p w14:paraId="4CA032DA">
            <w:pPr>
              <w:snapToGrid w:val="0"/>
              <w:spacing w:line="500" w:lineRule="exact"/>
              <w:ind w:firstLine="0" w:firstLineChars="0"/>
              <w:jc w:val="center"/>
              <w:rPr>
                <w:kern w:val="21"/>
              </w:rPr>
            </w:pPr>
            <w:r>
              <w:rPr>
                <w:kern w:val="21"/>
              </w:rPr>
              <w:t>劳务报酬发放</w:t>
            </w:r>
          </w:p>
          <w:p w14:paraId="4D186B40">
            <w:pPr>
              <w:snapToGrid w:val="0"/>
              <w:spacing w:line="500" w:lineRule="exact"/>
              <w:ind w:firstLine="0" w:firstLineChars="0"/>
              <w:jc w:val="center"/>
              <w:rPr>
                <w:kern w:val="21"/>
              </w:rPr>
            </w:pPr>
            <w:r>
              <w:rPr>
                <w:kern w:val="21"/>
              </w:rPr>
              <w:t>（实质性要求）</w:t>
            </w:r>
          </w:p>
        </w:tc>
        <w:tc>
          <w:tcPr>
            <w:tcW w:w="4827" w:type="dxa"/>
            <w:vAlign w:val="center"/>
          </w:tcPr>
          <w:p w14:paraId="78CFF577">
            <w:pPr>
              <w:snapToGrid w:val="0"/>
              <w:spacing w:line="500" w:lineRule="exact"/>
              <w:ind w:firstLine="0" w:firstLineChars="0"/>
              <w:jc w:val="left"/>
              <w:rPr>
                <w:kern w:val="21"/>
              </w:rPr>
            </w:pPr>
            <w:r>
              <w:rPr>
                <w:kern w:val="21"/>
              </w:rPr>
              <w:t>向××乡镇为主的群众发放劳务报酬不低于××万元</w:t>
            </w:r>
            <w:r>
              <w:t>。</w:t>
            </w:r>
            <w:r>
              <w:rPr>
                <w:kern w:val="21"/>
              </w:rPr>
              <w:t>供应商须对此项作出书面承诺响应。</w:t>
            </w:r>
          </w:p>
        </w:tc>
      </w:tr>
    </w:tbl>
    <w:p w14:paraId="155BAE41">
      <w:pPr>
        <w:snapToGrid w:val="0"/>
        <w:spacing w:line="376" w:lineRule="auto"/>
        <w:ind w:firstLine="0" w:firstLineChars="0"/>
        <w:rPr>
          <w:rFonts w:eastAsia="宋体"/>
          <w:kern w:val="21"/>
          <w:sz w:val="31"/>
          <w:szCs w:val="24"/>
        </w:rPr>
      </w:pPr>
    </w:p>
    <w:p w14:paraId="125BB11D">
      <w:pPr>
        <w:outlineLvl w:val="0"/>
        <w:rPr>
          <w:rFonts w:eastAsia="黑体"/>
          <w:kern w:val="44"/>
          <w:szCs w:val="44"/>
        </w:rPr>
      </w:pPr>
      <w:r>
        <w:rPr>
          <w:rFonts w:eastAsia="黑体"/>
          <w:kern w:val="44"/>
          <w:szCs w:val="44"/>
        </w:rPr>
        <w:t>二、采购项目技术、服务、政府采购合同内容条款及其他商务要求：技术、服务、合同条款要求</w:t>
      </w:r>
    </w:p>
    <w:tbl>
      <w:tblPr>
        <w:tblStyle w:val="1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3070"/>
        <w:gridCol w:w="4813"/>
      </w:tblGrid>
      <w:tr w14:paraId="7B86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77" w:type="dxa"/>
          </w:tcPr>
          <w:p w14:paraId="0B9BEC3F">
            <w:pPr>
              <w:snapToGrid w:val="0"/>
              <w:spacing w:line="500" w:lineRule="exact"/>
              <w:ind w:firstLine="0" w:firstLineChars="0"/>
              <w:jc w:val="center"/>
              <w:rPr>
                <w:rFonts w:eastAsia="黑体"/>
                <w:kern w:val="21"/>
                <w:sz w:val="31"/>
                <w:szCs w:val="24"/>
              </w:rPr>
            </w:pPr>
            <w:r>
              <w:rPr>
                <w:rFonts w:eastAsia="黑体"/>
                <w:kern w:val="21"/>
                <w:sz w:val="31"/>
                <w:szCs w:val="24"/>
              </w:rPr>
              <w:t>序号</w:t>
            </w:r>
          </w:p>
        </w:tc>
        <w:tc>
          <w:tcPr>
            <w:tcW w:w="3070" w:type="dxa"/>
          </w:tcPr>
          <w:p w14:paraId="6AA14387">
            <w:pPr>
              <w:snapToGrid w:val="0"/>
              <w:spacing w:line="500" w:lineRule="exact"/>
              <w:ind w:firstLine="0" w:firstLineChars="0"/>
              <w:jc w:val="center"/>
              <w:rPr>
                <w:rFonts w:eastAsia="黑体"/>
                <w:kern w:val="21"/>
                <w:sz w:val="31"/>
                <w:szCs w:val="24"/>
              </w:rPr>
            </w:pPr>
            <w:r>
              <w:rPr>
                <w:rFonts w:eastAsia="黑体"/>
                <w:kern w:val="21"/>
                <w:sz w:val="31"/>
                <w:szCs w:val="24"/>
              </w:rPr>
              <w:t>项目</w:t>
            </w:r>
          </w:p>
        </w:tc>
        <w:tc>
          <w:tcPr>
            <w:tcW w:w="4813" w:type="dxa"/>
          </w:tcPr>
          <w:p w14:paraId="7E7084DF">
            <w:pPr>
              <w:snapToGrid w:val="0"/>
              <w:spacing w:line="500" w:lineRule="exact"/>
              <w:ind w:firstLine="0" w:firstLineChars="0"/>
              <w:jc w:val="center"/>
              <w:rPr>
                <w:rFonts w:eastAsia="黑体"/>
                <w:kern w:val="21"/>
                <w:sz w:val="31"/>
                <w:szCs w:val="24"/>
              </w:rPr>
            </w:pPr>
            <w:r>
              <w:rPr>
                <w:rFonts w:eastAsia="黑体"/>
                <w:kern w:val="21"/>
                <w:sz w:val="31"/>
                <w:szCs w:val="24"/>
              </w:rPr>
              <w:t>说明和要求</w:t>
            </w:r>
          </w:p>
        </w:tc>
      </w:tr>
      <w:tr w14:paraId="3883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77" w:type="dxa"/>
            <w:vAlign w:val="center"/>
          </w:tcPr>
          <w:p w14:paraId="005785CD">
            <w:pPr>
              <w:snapToGrid w:val="0"/>
              <w:spacing w:line="500" w:lineRule="exact"/>
              <w:ind w:firstLine="0" w:firstLineChars="0"/>
              <w:jc w:val="center"/>
              <w:rPr>
                <w:kern w:val="21"/>
              </w:rPr>
            </w:pPr>
            <w:r>
              <w:rPr>
                <w:kern w:val="21"/>
              </w:rPr>
              <w:t>××</w:t>
            </w:r>
          </w:p>
        </w:tc>
        <w:tc>
          <w:tcPr>
            <w:tcW w:w="3070" w:type="dxa"/>
            <w:vAlign w:val="center"/>
          </w:tcPr>
          <w:p w14:paraId="2BFD89F8">
            <w:pPr>
              <w:snapToGrid w:val="0"/>
              <w:spacing w:line="500" w:lineRule="exact"/>
              <w:ind w:firstLine="0" w:firstLineChars="0"/>
              <w:jc w:val="center"/>
              <w:rPr>
                <w:kern w:val="21"/>
              </w:rPr>
            </w:pPr>
            <w:r>
              <w:rPr>
                <w:kern w:val="21"/>
              </w:rPr>
              <w:t>群众务工组织</w:t>
            </w:r>
          </w:p>
        </w:tc>
        <w:tc>
          <w:tcPr>
            <w:tcW w:w="4813" w:type="dxa"/>
            <w:vAlign w:val="center"/>
          </w:tcPr>
          <w:p w14:paraId="2D85B6BC">
            <w:pPr>
              <w:snapToGrid w:val="0"/>
              <w:spacing w:line="500" w:lineRule="exact"/>
              <w:ind w:firstLine="0" w:firstLineChars="0"/>
              <w:jc w:val="left"/>
              <w:rPr>
                <w:kern w:val="21"/>
              </w:rPr>
            </w:pPr>
            <w:r>
              <w:rPr>
                <w:kern w:val="21"/>
              </w:rPr>
              <w:t>吸纳××乡镇为主的群众参与工程项目建设。</w:t>
            </w:r>
          </w:p>
        </w:tc>
      </w:tr>
      <w:tr w14:paraId="0374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14:paraId="3EF5F8BD">
            <w:pPr>
              <w:snapToGrid w:val="0"/>
              <w:spacing w:line="500" w:lineRule="exact"/>
              <w:ind w:firstLine="0" w:firstLineChars="0"/>
              <w:jc w:val="center"/>
              <w:rPr>
                <w:kern w:val="21"/>
              </w:rPr>
            </w:pPr>
            <w:r>
              <w:rPr>
                <w:kern w:val="21"/>
              </w:rPr>
              <w:t>××</w:t>
            </w:r>
          </w:p>
        </w:tc>
        <w:tc>
          <w:tcPr>
            <w:tcW w:w="3070" w:type="dxa"/>
            <w:vAlign w:val="center"/>
          </w:tcPr>
          <w:p w14:paraId="343C27C8">
            <w:pPr>
              <w:snapToGrid w:val="0"/>
              <w:spacing w:line="500" w:lineRule="exact"/>
              <w:ind w:firstLine="0" w:firstLineChars="0"/>
              <w:jc w:val="center"/>
              <w:rPr>
                <w:kern w:val="21"/>
              </w:rPr>
            </w:pPr>
            <w:r>
              <w:rPr>
                <w:kern w:val="21"/>
              </w:rPr>
              <w:t>劳务报酬发放</w:t>
            </w:r>
          </w:p>
        </w:tc>
        <w:tc>
          <w:tcPr>
            <w:tcW w:w="4813" w:type="dxa"/>
            <w:vAlign w:val="center"/>
          </w:tcPr>
          <w:p w14:paraId="6397BD8F">
            <w:pPr>
              <w:snapToGrid w:val="0"/>
              <w:spacing w:line="500" w:lineRule="exact"/>
              <w:ind w:firstLine="0" w:firstLineChars="0"/>
              <w:jc w:val="left"/>
              <w:rPr>
                <w:kern w:val="21"/>
              </w:rPr>
            </w:pPr>
            <w:r>
              <w:rPr>
                <w:kern w:val="21"/>
              </w:rPr>
              <w:t>向××乡镇为主的群众发放劳务报酬不低于××万元。供应商须对此项作出书面承诺响应。</w:t>
            </w:r>
          </w:p>
        </w:tc>
      </w:tr>
    </w:tbl>
    <w:p w14:paraId="795D98EC">
      <w:pPr>
        <w:ind w:firstLine="0" w:firstLineChars="0"/>
        <w:rPr>
          <w:rFonts w:ascii="黑体" w:hAnsi="黑体" w:eastAsia="黑体" w:cs="黑体"/>
          <w:highlight w:val="none"/>
          <w:u w:val="none"/>
        </w:rPr>
      </w:pPr>
      <w:r>
        <w:rPr>
          <w:rFonts w:hint="eastAsia" w:ascii="黑体" w:hAnsi="黑体" w:eastAsia="黑体" w:cs="黑体"/>
          <w:highlight w:val="none"/>
          <w:u w:val="none"/>
        </w:rPr>
        <w:t>附件2</w:t>
      </w:r>
    </w:p>
    <w:p w14:paraId="57FE9F33">
      <w:pPr>
        <w:rPr>
          <w:highlight w:val="none"/>
          <w:u w:val="none"/>
        </w:rPr>
      </w:pPr>
    </w:p>
    <w:p w14:paraId="193FA720">
      <w:pPr>
        <w:pStyle w:val="16"/>
        <w:rPr>
          <w:rFonts w:hAnsi="方正小标宋简体"/>
          <w:highlight w:val="none"/>
          <w:u w:val="none"/>
        </w:rPr>
      </w:pPr>
      <w:r>
        <w:rPr>
          <w:rFonts w:hint="eastAsia" w:hAnsi="方正小标宋简体"/>
          <w:highlight w:val="none"/>
          <w:u w:val="none"/>
        </w:rPr>
        <w:t>以工代赈项目村民自建工作指南</w:t>
      </w:r>
    </w:p>
    <w:p w14:paraId="2CD1C11C">
      <w:pPr>
        <w:rPr>
          <w:highlight w:val="none"/>
          <w:u w:val="none"/>
        </w:rPr>
      </w:pPr>
    </w:p>
    <w:p w14:paraId="1AB7FDA4">
      <w:pPr>
        <w:rPr>
          <w:highlight w:val="none"/>
          <w:u w:val="none"/>
        </w:rPr>
      </w:pPr>
      <w:r>
        <w:rPr>
          <w:highlight w:val="none"/>
          <w:u w:val="none"/>
        </w:rPr>
        <w:t>为深入贯彻落实《国家以工代赈管理办法》（2023年国家发展改革委第57号令）及《山西省以工代赈管理实施细则》（晋发改赈发〔2023〕332号）等，推动以工代赈项目采取村民自建方式实施，切实保障村民知情权、参与权、监督权，特制定本工作指南。各地应结合当地实际，优化完善相关内容和程序，无特殊情况可参照执行。</w:t>
      </w:r>
    </w:p>
    <w:p w14:paraId="6E7D7643">
      <w:pPr>
        <w:pStyle w:val="2"/>
        <w:keepNext w:val="0"/>
        <w:keepLines w:val="0"/>
        <w:rPr>
          <w:highlight w:val="none"/>
          <w:u w:val="none"/>
        </w:rPr>
      </w:pPr>
      <w:r>
        <w:rPr>
          <w:highlight w:val="none"/>
          <w:u w:val="none"/>
        </w:rPr>
        <w:t>一、前期谋划</w:t>
      </w:r>
    </w:p>
    <w:p w14:paraId="3B611A84">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（一）项目准备</w:t>
      </w:r>
    </w:p>
    <w:p w14:paraId="0A3D1B68">
      <w:pPr>
        <w:rPr>
          <w:highlight w:val="none"/>
          <w:u w:val="none"/>
        </w:rPr>
      </w:pPr>
      <w:r>
        <w:rPr>
          <w:highlight w:val="none"/>
          <w:u w:val="none"/>
        </w:rPr>
        <w:t>村委会围绕以工代赈资金投向及重点建设领域，按照“先有群众、后有项目”“工程只是手段，赈济才是目的”原则，统筹考虑实际需要和群众意愿，研究提出项目建设初步方案、项目建设相关事宜、项目建成后发挥的预期社会效益，将拟建项目相关资料报乡镇政府。</w:t>
      </w:r>
    </w:p>
    <w:p w14:paraId="5D950A71">
      <w:pPr>
        <w:rPr>
          <w:highlight w:val="none"/>
          <w:u w:val="none"/>
        </w:rPr>
      </w:pPr>
      <w:r>
        <w:rPr>
          <w:highlight w:val="none"/>
          <w:u w:val="none"/>
        </w:rPr>
        <w:t>乡镇政府对村民委员会申报拟建项目的必要性、真实性、可行性进行审核。审核通过后，乡镇政府向县级发展改革部门提出开展项目有关前期工作的申请。</w:t>
      </w:r>
    </w:p>
    <w:p w14:paraId="098131A5">
      <w:pPr>
        <w:rPr>
          <w:highlight w:val="none"/>
          <w:u w:val="none"/>
        </w:rPr>
      </w:pPr>
      <w:r>
        <w:rPr>
          <w:highlight w:val="none"/>
          <w:u w:val="none"/>
        </w:rPr>
        <w:t>县级发展改革部门联合县级农业农村、人社、民政等部门会同乡镇政府开展会商调研，发挥驻村工作队作用，指导村民委员会组织开展务工群众调查，对滞留劳动力、脱贫人口、防止返贫监测对象、易地搬迁脱贫群众及其他农村低收入群体分布及规模进行摸底，建立务工群众信息库，掌握当地农村劳动力数量（含弱劳力、半劳力）、群众务工技能、就近务工意愿、村级劳务合作社及施工队等情况，了解项目村“两委”组织能力，评估采取村民自建方式的可行性。</w:t>
      </w:r>
    </w:p>
    <w:p w14:paraId="73A07080">
      <w:pPr>
        <w:rPr>
          <w:highlight w:val="none"/>
          <w:u w:val="none"/>
        </w:rPr>
      </w:pPr>
      <w:r>
        <w:rPr>
          <w:highlight w:val="none"/>
          <w:u w:val="none"/>
        </w:rPr>
        <w:t>在县级发展改革部门、乡镇政府指导下，村民委员会组织召开村民代表会议，宣讲以工代赈政策，听取村民意见，通过采用以工代赈村民自建方式实施项目。</w:t>
      </w:r>
    </w:p>
    <w:p w14:paraId="79BC6075">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（二）方案编制</w:t>
      </w:r>
    </w:p>
    <w:p w14:paraId="136DED32">
      <w:pPr>
        <w:rPr>
          <w:highlight w:val="none"/>
          <w:u w:val="none"/>
        </w:rPr>
      </w:pPr>
      <w:r>
        <w:rPr>
          <w:highlight w:val="none"/>
          <w:u w:val="none"/>
        </w:rPr>
        <w:t>项目只涉及一个村的由村民委员会作为业主单位，涉及多个村实施的项目由项目所在乡镇指定</w:t>
      </w:r>
      <w:r>
        <w:rPr>
          <w:rFonts w:hint="eastAsia"/>
          <w:highlight w:val="none"/>
          <w:u w:val="none"/>
        </w:rPr>
        <w:t>的</w:t>
      </w:r>
      <w:r>
        <w:rPr>
          <w:highlight w:val="none"/>
          <w:u w:val="none"/>
        </w:rPr>
        <w:t>承担主要建设任务的村民委员会作为业主单位。项目业主单位负责编制项目可行性研究报告。</w:t>
      </w:r>
    </w:p>
    <w:p w14:paraId="4467A09B">
      <w:pPr>
        <w:rPr>
          <w:highlight w:val="none"/>
          <w:u w:val="none"/>
        </w:rPr>
      </w:pPr>
      <w:r>
        <w:rPr>
          <w:highlight w:val="none"/>
          <w:u w:val="none"/>
        </w:rPr>
        <w:t>县级发展改革部门将项目基本情况报县政府</w:t>
      </w:r>
      <w:r>
        <w:rPr>
          <w:color w:val="000000" w:themeColor="text1"/>
          <w:highlight w:val="none"/>
          <w:u w:val="none"/>
          <w14:textFill>
            <w14:solidFill>
              <w14:schemeClr w14:val="tx1"/>
            </w14:solidFill>
          </w14:textFill>
        </w:rPr>
        <w:t>分管</w:t>
      </w:r>
      <w:r>
        <w:rPr>
          <w:highlight w:val="none"/>
          <w:u w:val="none"/>
        </w:rPr>
        <w:t>负责人同意后，指导项目业主单位（可委托有资质的第三方机构）参考省发展改革委《山西省以工代赈项目可行性研究报告（或实施方案）参考提纲》，编制项目可行性研究报告（或实施方案，下同）。</w:t>
      </w:r>
    </w:p>
    <w:p w14:paraId="3528DF44">
      <w:pPr>
        <w:rPr>
          <w:highlight w:val="none"/>
          <w:u w:val="none"/>
        </w:rPr>
      </w:pPr>
      <w:r>
        <w:rPr>
          <w:highlight w:val="none"/>
          <w:u w:val="none"/>
        </w:rPr>
        <w:t>以工代赈项目可行性研究报告应达到初步设计深度，包括工程施工图和工程预算等财政评审所需资料。可行性研究报告中要明确工程建设标准、建设规模、建设内容，按照“能用人工的尽量不用机械，能用当地群众尽量不用专业队伍”的要求，科学论证工程建设的务工设置、用工数量和工时、岗前技能培训数量等，逐项测算劳务报酬发放标准及额度，切实加强对吸纳带动当地群众就业增收效果的论证。劳务报酬发放标准应参考当地实际务工工资标准进行测算确定。</w:t>
      </w:r>
    </w:p>
    <w:p w14:paraId="60898C08">
      <w:pPr>
        <w:rPr>
          <w:highlight w:val="none"/>
          <w:u w:val="none"/>
        </w:rPr>
      </w:pPr>
      <w:r>
        <w:rPr>
          <w:highlight w:val="none"/>
          <w:u w:val="none"/>
        </w:rPr>
        <w:t>乡镇政府、驻村工作队等协助指导村民委员会组织编制《群众务工组织工作方案》，广泛发动群众积极参加项目建设，在遵循群众自愿的基础上，建立有意愿参加务工群众花名册。群众务工组织方案包括务工组织领导、务工管理、务工岗位、务工监督等工作任务，根据可行性研究报告细化务工岗位、数量及务工时间、务工报酬、岗前技能培训、务工以岗代训、产业技能培训、特殊岗位设置。《群众务工组织工作方案》应作为项目可行性研究报告的附件。</w:t>
      </w:r>
    </w:p>
    <w:p w14:paraId="1BCB3574">
      <w:pPr>
        <w:rPr>
          <w:highlight w:val="none"/>
          <w:u w:val="none"/>
        </w:rPr>
      </w:pPr>
      <w:r>
        <w:rPr>
          <w:highlight w:val="none"/>
          <w:u w:val="none"/>
        </w:rPr>
        <w:t>县级发展改革部门会同乡镇政府，指导项目业主单位严格按照国家有关投资管理规定，履行项目规划选址、用地、环评等前期手续。要按照《关于村庄建设项目实行简易审批的指导意见》（发改农经〔2020〕1337号）等有关要求，在推动可行性研究报告达到初步设计深度的基础上，将项目建议书、可行性研究报告、初步设计和工程概算、预算等合并为可行性研究报告一次审批，简化用地、环评、乡村规划许可、施工许可等审批手续。</w:t>
      </w:r>
    </w:p>
    <w:p w14:paraId="31063F00">
      <w:pPr>
        <w:pStyle w:val="2"/>
        <w:keepNext w:val="0"/>
        <w:keepLines w:val="0"/>
        <w:rPr>
          <w:highlight w:val="none"/>
          <w:u w:val="none"/>
        </w:rPr>
      </w:pPr>
      <w:r>
        <w:rPr>
          <w:highlight w:val="none"/>
          <w:u w:val="none"/>
        </w:rPr>
        <w:t>二、项目立项</w:t>
      </w:r>
    </w:p>
    <w:p w14:paraId="3BFF01C6">
      <w:pPr>
        <w:rPr>
          <w:highlight w:val="none"/>
          <w:u w:val="none"/>
        </w:rPr>
      </w:pPr>
      <w:r>
        <w:rPr>
          <w:highlight w:val="none"/>
          <w:u w:val="none"/>
        </w:rPr>
        <w:t>项目业主单位将编制完成的项目可行性研究报告报乡镇政府。乡镇政府审核后，向县级发展改革部门提出立项申请。项目审批权限不在市、县发展改革部门的，乡镇政府要报县级发展改革部门审核同意后，向县级行政审批部门提出立项申请。</w:t>
      </w:r>
    </w:p>
    <w:p w14:paraId="29A650F8">
      <w:pPr>
        <w:rPr>
          <w:highlight w:val="none"/>
          <w:u w:val="none"/>
        </w:rPr>
      </w:pPr>
      <w:r>
        <w:rPr>
          <w:highlight w:val="none"/>
          <w:u w:val="none"/>
        </w:rPr>
        <w:t>县级发展改革部门按程序开展项目可行性研究报告的审查，指导项目乡镇政府、项目村同步将项目可行性研究报告、施工图、工程量清单等报县级财评中心。</w:t>
      </w:r>
    </w:p>
    <w:p w14:paraId="792ED10C">
      <w:pPr>
        <w:rPr>
          <w:highlight w:val="none"/>
          <w:u w:val="none"/>
        </w:rPr>
      </w:pPr>
      <w:r>
        <w:rPr>
          <w:highlight w:val="none"/>
          <w:u w:val="none"/>
        </w:rPr>
        <w:t>县级财评中心应按以工代赈项目工程清单完成项目财评，出具财评报告，明确项目控制价和物资采购、劳务报酬、机械费用等分项工程量单价。劳务报酬发放标准应参照当地实际务工工资标准进行测算。</w:t>
      </w:r>
    </w:p>
    <w:p w14:paraId="6EE55A39">
      <w:pPr>
        <w:rPr>
          <w:highlight w:val="none"/>
          <w:u w:val="none"/>
        </w:rPr>
      </w:pPr>
      <w:r>
        <w:rPr>
          <w:highlight w:val="none"/>
          <w:u w:val="none"/>
        </w:rPr>
        <w:t>县级发展改革部门（或协调县级行政审批部门）结合县级财评报告，按程序完成项目可行性研究报告的审查批复，将符合申报条件的以工代赈村民自建项目，纳入县级项目储备库。按照各类资金来源、要求和流程，申报和下达项目资金计划。</w:t>
      </w:r>
    </w:p>
    <w:p w14:paraId="5ECCD4F3">
      <w:pPr>
        <w:rPr>
          <w:highlight w:val="none"/>
          <w:u w:val="none"/>
        </w:rPr>
      </w:pPr>
      <w:r>
        <w:rPr>
          <w:highlight w:val="none"/>
          <w:u w:val="none"/>
        </w:rPr>
        <w:t>使用中央和省级以工代赈专项资金实施的基础设施建设工程，项目立项批复文件应体现以工代赈政策要求，明确“能用人工的尽量不用机械，能用当地群众的尽量不用专业队伍”；明确项目建设方式为采取以工代赈村民自建方式；明确项目预计带动就业人数、劳务技能培训人数、劳务报酬发放金额及比例等。</w:t>
      </w:r>
    </w:p>
    <w:p w14:paraId="04020ACD">
      <w:pPr>
        <w:pStyle w:val="2"/>
        <w:keepNext w:val="0"/>
        <w:keepLines w:val="0"/>
        <w:rPr>
          <w:highlight w:val="none"/>
          <w:u w:val="none"/>
        </w:rPr>
      </w:pPr>
      <w:r>
        <w:rPr>
          <w:highlight w:val="none"/>
          <w:u w:val="none"/>
        </w:rPr>
        <w:t>三、机构设立</w:t>
      </w:r>
    </w:p>
    <w:p w14:paraId="74ACDA1D">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（一）成立项目建设专班</w:t>
      </w:r>
    </w:p>
    <w:p w14:paraId="69B9195D">
      <w:pPr>
        <w:rPr>
          <w:highlight w:val="none"/>
          <w:u w:val="none"/>
        </w:rPr>
      </w:pPr>
      <w:r>
        <w:rPr>
          <w:highlight w:val="none"/>
          <w:u w:val="none"/>
        </w:rPr>
        <w:t>项目乡镇政府成立由乡镇主要领导任组长，分管领导任副组长的乡镇项目建设专班，落实项目管理主体责任和监督责任，重点开展建设质量、资金安全、施工安全、落实以工代赈政策的监督管理工作。</w:t>
      </w:r>
    </w:p>
    <w:p w14:paraId="5F66CD39">
      <w:pPr>
        <w:rPr>
          <w:highlight w:val="none"/>
          <w:u w:val="none"/>
        </w:rPr>
      </w:pPr>
      <w:r>
        <w:rPr>
          <w:highlight w:val="none"/>
          <w:u w:val="none"/>
        </w:rPr>
        <w:t>县级项目负责人为县级发展改革部门指定的相关责任人。乡镇项目负责人一般为乡镇包村干部或包片领导。</w:t>
      </w:r>
    </w:p>
    <w:p w14:paraId="0140BA4E">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（二）成立项目理事会</w:t>
      </w:r>
    </w:p>
    <w:p w14:paraId="6C4B4B81">
      <w:pPr>
        <w:rPr>
          <w:highlight w:val="none"/>
          <w:u w:val="none"/>
        </w:rPr>
      </w:pPr>
      <w:r>
        <w:rPr>
          <w:highlight w:val="none"/>
          <w:u w:val="none"/>
        </w:rPr>
        <w:t>村“两委”及村务监督委员会组织召开专题会议，研究项目理事会及下设的具体管理机构设置等工作，提出建议人选名单。</w:t>
      </w:r>
    </w:p>
    <w:p w14:paraId="44F83B18">
      <w:pPr>
        <w:rPr>
          <w:highlight w:val="none"/>
          <w:u w:val="none"/>
        </w:rPr>
      </w:pPr>
      <w:r>
        <w:rPr>
          <w:highlight w:val="none"/>
          <w:u w:val="none"/>
        </w:rPr>
        <w:t>项目村组织召开村民代表会议，采用举手表决（或不记名投票）方式民主选举产生项目理事会。项目理事会负责人（即项目理事长）一般由熟悉本村情况、项目管理经验丰富且组织协调能力较强的村班子成员、党员或村民担任，也可由乡镇包村干部、包片领导担任。县级项目负责人、乡镇项目负责人列席会议。</w:t>
      </w:r>
    </w:p>
    <w:p w14:paraId="50365825">
      <w:pPr>
        <w:spacing w:line="580" w:lineRule="exact"/>
        <w:rPr>
          <w:highlight w:val="none"/>
          <w:u w:val="none"/>
        </w:rPr>
      </w:pPr>
      <w:r>
        <w:rPr>
          <w:highlight w:val="none"/>
          <w:u w:val="none"/>
        </w:rPr>
        <w:t>项目理事会作为项目实施主体，主要负责施工组织、材料采购、账务管理等工作。村“两委”主要负责人是项目实施第一责任人，或直接担任项目理事会负责人，或不参加项目理事会仅在外部领导，但其直系亲属不得参加项目理事会。项目理事会优先吸纳村集体经济组织、劳务合作社、施工队（或集体经济组织组建的劳务合作社、施工队）成员，但不得超过项目理事会成员总数的三分之二。</w:t>
      </w:r>
    </w:p>
    <w:p w14:paraId="5D383931">
      <w:pPr>
        <w:pStyle w:val="3"/>
        <w:rPr>
          <w:rFonts w:ascii="Times New Roman" w:hAnsi="Times New Roman" w:eastAsia="楷体_GB2312"/>
          <w:b/>
          <w:highlight w:val="none"/>
          <w:u w:val="none"/>
        </w:rPr>
      </w:pPr>
      <w:r>
        <w:rPr>
          <w:rFonts w:ascii="Times New Roman" w:hAnsi="Times New Roman" w:eastAsia="楷体_GB2312"/>
          <w:b/>
          <w:highlight w:val="none"/>
          <w:u w:val="none"/>
        </w:rPr>
        <w:t>（三）成立工程建设管理机构</w:t>
      </w:r>
    </w:p>
    <w:p w14:paraId="241C911E">
      <w:pPr>
        <w:spacing w:line="580" w:lineRule="exact"/>
        <w:rPr>
          <w:highlight w:val="none"/>
          <w:u w:val="none"/>
        </w:rPr>
      </w:pPr>
      <w:r>
        <w:rPr>
          <w:highlight w:val="none"/>
          <w:u w:val="none"/>
        </w:rPr>
        <w:t>项目理事会一般下设施工管理组、质量监督组、财务管理组、材料采购组、物资保管组、档案收集组等具体管理机构。项目理事会应明确各管理小组人员及职责，各管理小组人员为民主选举产生的项目理事会成员，原则上每个管理小组成员不少于3人。</w:t>
      </w:r>
    </w:p>
    <w:p w14:paraId="047E70F9">
      <w:pPr>
        <w:spacing w:line="580" w:lineRule="exact"/>
        <w:rPr>
          <w:highlight w:val="none"/>
          <w:u w:val="none"/>
        </w:rPr>
      </w:pPr>
      <w:r>
        <w:rPr>
          <w:highlight w:val="none"/>
          <w:u w:val="none"/>
        </w:rPr>
        <w:t>项目理事会成员没有项目施工管理、质量监督工作专业人才的，不设置施工管理组、质量监督组，经会议民主议定、公开公示监督的程序后，施工管理、质量监督工作聘请有资质的人员或委托第三方机构承担。</w:t>
      </w:r>
    </w:p>
    <w:p w14:paraId="165570E8">
      <w:pPr>
        <w:spacing w:line="580" w:lineRule="exact"/>
        <w:rPr>
          <w:highlight w:val="none"/>
          <w:u w:val="none"/>
        </w:rPr>
      </w:pPr>
      <w:r>
        <w:rPr>
          <w:highlight w:val="none"/>
          <w:u w:val="none"/>
        </w:rPr>
        <w:t>跨村实施的项目由乡镇组织项目村，通过召开项目村村民代表会议，按照会议民主选举的方式联合成立项目理事会及其下设的管理机构。</w:t>
      </w:r>
    </w:p>
    <w:p w14:paraId="3A1DE682">
      <w:pPr>
        <w:pStyle w:val="3"/>
        <w:rPr>
          <w:rFonts w:ascii="Times New Roman" w:hAnsi="Times New Roman" w:eastAsia="楷体_GB2312"/>
          <w:b/>
          <w:highlight w:val="none"/>
          <w:u w:val="none"/>
        </w:rPr>
      </w:pPr>
      <w:r>
        <w:rPr>
          <w:rFonts w:ascii="Times New Roman" w:hAnsi="Times New Roman" w:eastAsia="楷体_GB2312"/>
          <w:b/>
          <w:highlight w:val="none"/>
          <w:u w:val="none"/>
        </w:rPr>
        <w:t>（四）监督机构</w:t>
      </w:r>
    </w:p>
    <w:p w14:paraId="25F2B545">
      <w:pPr>
        <w:spacing w:line="580" w:lineRule="exact"/>
        <w:rPr>
          <w:highlight w:val="none"/>
          <w:u w:val="none"/>
        </w:rPr>
      </w:pPr>
      <w:r>
        <w:rPr>
          <w:highlight w:val="none"/>
          <w:u w:val="none"/>
        </w:rPr>
        <w:t>村监委或其他形式的监督机构要加强对项目理事会的监督管理。</w:t>
      </w:r>
    </w:p>
    <w:p w14:paraId="78E877A0">
      <w:pPr>
        <w:spacing w:line="580" w:lineRule="exact"/>
        <w:rPr>
          <w:highlight w:val="none"/>
          <w:u w:val="none"/>
        </w:rPr>
      </w:pPr>
      <w:r>
        <w:rPr>
          <w:highlight w:val="none"/>
          <w:u w:val="none"/>
        </w:rPr>
        <w:t>项目理事会在乡镇项目建设专班、村“两委”的领导下，履行职能职责，保障项目安全有序推进。项目理事会成员按照承担的具体工作，可以发放相应的误工补助。</w:t>
      </w:r>
    </w:p>
    <w:p w14:paraId="3E197204">
      <w:pPr>
        <w:pStyle w:val="2"/>
        <w:keepNext w:val="0"/>
        <w:keepLines w:val="0"/>
        <w:spacing w:line="580" w:lineRule="exact"/>
        <w:rPr>
          <w:highlight w:val="none"/>
          <w:u w:val="none"/>
        </w:rPr>
      </w:pPr>
      <w:r>
        <w:rPr>
          <w:highlight w:val="none"/>
          <w:u w:val="none"/>
        </w:rPr>
        <w:t>四、务工群众确定</w:t>
      </w:r>
    </w:p>
    <w:p w14:paraId="3DFA199A">
      <w:pPr>
        <w:rPr>
          <w:highlight w:val="none"/>
          <w:u w:val="none"/>
        </w:rPr>
      </w:pPr>
      <w:r>
        <w:rPr>
          <w:highlight w:val="none"/>
          <w:u w:val="none"/>
        </w:rPr>
        <w:t>村民委员会根据《群众务工组织工作方案》，组织核实、了解务工群众参加务工的意愿。</w:t>
      </w:r>
    </w:p>
    <w:p w14:paraId="038CB7B0">
      <w:pPr>
        <w:spacing w:line="580" w:lineRule="exact"/>
        <w:rPr>
          <w:highlight w:val="none"/>
          <w:u w:val="none"/>
        </w:rPr>
      </w:pPr>
      <w:r>
        <w:rPr>
          <w:highlight w:val="none"/>
          <w:u w:val="none"/>
        </w:rPr>
        <w:t>村“两委”及村务监督委员会组织召开专题会议，在前期核实群众务工意愿的基础上，研究务工群众组织工作，提出参加工程建设的务工群众建议名单，包括建议人选的岗位设置、报酬标准。务工群众优先吸纳村集体经济组织、劳务合作社、施工队的群众，优先保障脱贫不稳定户、边缘易致贫户和其他农村低收入人口。</w:t>
      </w:r>
    </w:p>
    <w:p w14:paraId="33C53C10">
      <w:pPr>
        <w:spacing w:line="580" w:lineRule="exact"/>
        <w:rPr>
          <w:highlight w:val="none"/>
          <w:u w:val="none"/>
        </w:rPr>
      </w:pPr>
      <w:r>
        <w:rPr>
          <w:highlight w:val="none"/>
          <w:u w:val="none"/>
        </w:rPr>
        <w:t>村党支部召开党员代表会议（或指导村委会召开村民代表会议），采用举手表决（或不记名投票）方式，民主确定务工群众人选，包括对应务工岗位、报酬标准，形成定人定岗定酬工作方案，并在村务公开栏公示不少于5个工作日。报酬标准参照当地实际务工工资水平。会议影像资料应存档备查。县级项目负责人、乡镇项目负责人列席会议。</w:t>
      </w:r>
    </w:p>
    <w:p w14:paraId="3D9A4CE5">
      <w:pPr>
        <w:spacing w:line="580" w:lineRule="exact"/>
        <w:rPr>
          <w:highlight w:val="none"/>
          <w:u w:val="none"/>
        </w:rPr>
      </w:pPr>
      <w:r>
        <w:rPr>
          <w:highlight w:val="none"/>
          <w:u w:val="none"/>
        </w:rPr>
        <w:t>鼓励和支持村集体经济组织领办的、具备法人资格的、能独立承担项目建设任务的且务工群众以项目所在乡镇、村为主体的劳务合作社、施工队，经村党员代表会议（村民代表会议）民主议定后，作为项目工程实施主体，与项目理事会签订施工协议并在项目理事会管理下，协同质量监督组、材料采购组、物资保管组、档案收集组共同承担项目的建设工作。</w:t>
      </w:r>
    </w:p>
    <w:p w14:paraId="443A2F57">
      <w:pPr>
        <w:spacing w:line="580" w:lineRule="exact"/>
        <w:rPr>
          <w:highlight w:val="none"/>
          <w:u w:val="none"/>
        </w:rPr>
      </w:pPr>
      <w:r>
        <w:rPr>
          <w:highlight w:val="none"/>
          <w:u w:val="none"/>
        </w:rPr>
        <w:t>乡镇项目负责人、驻村工作队指导村“两委”在组织务工群众工作中，大力发扬民主作风，充分发动群众参与，不断增强基层组织号召群众、凝聚群众、动员群众的组织能力。</w:t>
      </w:r>
    </w:p>
    <w:p w14:paraId="06A761C5">
      <w:pPr>
        <w:pStyle w:val="2"/>
        <w:keepNext w:val="0"/>
        <w:keepLines w:val="0"/>
        <w:rPr>
          <w:highlight w:val="none"/>
          <w:u w:val="none"/>
        </w:rPr>
      </w:pPr>
      <w:r>
        <w:rPr>
          <w:highlight w:val="none"/>
          <w:u w:val="none"/>
        </w:rPr>
        <w:t>五、物资采购（聘请、委托）</w:t>
      </w:r>
    </w:p>
    <w:p w14:paraId="110DB5DD">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（一）审议租购聘工作方案</w:t>
      </w:r>
    </w:p>
    <w:p w14:paraId="3764AC42">
      <w:pPr>
        <w:rPr>
          <w:highlight w:val="none"/>
          <w:u w:val="none"/>
        </w:rPr>
      </w:pPr>
      <w:r>
        <w:rPr>
          <w:highlight w:val="none"/>
          <w:u w:val="none"/>
        </w:rPr>
        <w:t>县级项目负责人、乡镇项目负责人、村委会主要负责人、驻村工作队指导项目理事会起草《租购聘工作建议方案》。</w:t>
      </w:r>
    </w:p>
    <w:p w14:paraId="3CF26EB7">
      <w:pPr>
        <w:rPr>
          <w:highlight w:val="none"/>
          <w:u w:val="none"/>
        </w:rPr>
      </w:pPr>
      <w:r>
        <w:rPr>
          <w:highlight w:val="none"/>
          <w:u w:val="none"/>
        </w:rPr>
        <w:t>《租购聘工作建议方案》中的“租”就是指租赁机械设备及机具、“购”就是指购买项目建设所需的原材料及其劳保用具或小型的机具等、“聘”就是指聘请施工管理员、质量监督员、档案管理员。《租购聘工作建议方案》主要内容包括工程材料、机械租赁、材料运输、聘请专业技术人员及委托施工管理、质量监督的第三方机构的询价比价等工作，并应参照政府采购的询价、竞争性谈判、竞争性磋商等方式制定，确保公平、公开、公正开展询价比价工作。</w:t>
      </w:r>
    </w:p>
    <w:p w14:paraId="1FCB0A9E">
      <w:pPr>
        <w:rPr>
          <w:highlight w:val="none"/>
          <w:u w:val="none"/>
        </w:rPr>
      </w:pPr>
      <w:r>
        <w:rPr>
          <w:highlight w:val="none"/>
          <w:u w:val="none"/>
        </w:rPr>
        <w:t>村“两委”及村务监督委员会、项目理事会组织召开专题会议，研究租（购、聘）机械（材料、单位或人员）工作，审议通过《租购聘工作建议方案》。</w:t>
      </w:r>
    </w:p>
    <w:p w14:paraId="288A4A09">
      <w:pPr>
        <w:rPr>
          <w:highlight w:val="none"/>
          <w:u w:val="none"/>
        </w:rPr>
      </w:pPr>
      <w:r>
        <w:rPr>
          <w:highlight w:val="none"/>
          <w:u w:val="none"/>
        </w:rPr>
        <w:t>村党支部召开党员代表会议（或指导村委会召开村民代表会议），采用举手表决（或不记名投票）方式，民主确定《租购聘工作方案》。会议影像资料应存档备查。县级项目负责人、乡镇项目负责人列席会议。</w:t>
      </w:r>
    </w:p>
    <w:p w14:paraId="55BBCDF2">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（二）询价比价工作</w:t>
      </w:r>
    </w:p>
    <w:p w14:paraId="4353F183">
      <w:pPr>
        <w:rPr>
          <w:highlight w:val="none"/>
          <w:u w:val="none"/>
        </w:rPr>
      </w:pPr>
      <w:r>
        <w:rPr>
          <w:highlight w:val="none"/>
          <w:u w:val="none"/>
        </w:rPr>
        <w:t>项目理事会依据《租购聘工作方案》组织对聘请专业技术人员及委托施工管理、质量监督的第三方机构事项开展询价比价工作。</w:t>
      </w:r>
    </w:p>
    <w:p w14:paraId="117D5366">
      <w:pPr>
        <w:rPr>
          <w:highlight w:val="none"/>
          <w:u w:val="none"/>
        </w:rPr>
      </w:pPr>
      <w:r>
        <w:rPr>
          <w:highlight w:val="none"/>
          <w:u w:val="none"/>
        </w:rPr>
        <w:t>材料采购组依据《租购聘工作方案》对工程材料、机械租赁、材料运输等开展询价比价工作。采购的内容、金额、方式应同步在县政府网站、乡镇政务公开栏、项目所在村务公开栏等平台发布询价比价公告，公示期不少于5个工作日，并收集整理报价方案。对已建立县级建材供应商库的，供应商库内的物资价格应作为询价比价的参考依据。</w:t>
      </w:r>
    </w:p>
    <w:p w14:paraId="510C3473">
      <w:pPr>
        <w:rPr>
          <w:highlight w:val="none"/>
          <w:u w:val="none"/>
        </w:rPr>
      </w:pPr>
      <w:r>
        <w:rPr>
          <w:highlight w:val="none"/>
          <w:u w:val="none"/>
        </w:rPr>
        <w:t>县级以工代赈项目负责人会同乡镇项目负责人、村委会主要负责人、项目理事会和项目材料采购组根据报价方案，按照询价比价结果评定办法，提出租购聘建议对象及相关内容。</w:t>
      </w:r>
    </w:p>
    <w:p w14:paraId="0BC37A43">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（三）确定租购聘对象及相关内容</w:t>
      </w:r>
    </w:p>
    <w:p w14:paraId="2DB67943">
      <w:pPr>
        <w:rPr>
          <w:highlight w:val="none"/>
          <w:u w:val="none"/>
        </w:rPr>
      </w:pPr>
      <w:r>
        <w:rPr>
          <w:highlight w:val="none"/>
          <w:u w:val="none"/>
        </w:rPr>
        <w:t>村党支部（村委会）召开党支部（村委会）会议，采用举手表决（或不记名投票）方式，民主确定租购聘对象及相关内容。县级项目负责人、乡镇项目负责人、乡镇纪委负责人、项目理事会负责人列席会议。</w:t>
      </w:r>
    </w:p>
    <w:p w14:paraId="3599776F">
      <w:pPr>
        <w:rPr>
          <w:highlight w:val="none"/>
          <w:u w:val="none"/>
        </w:rPr>
      </w:pPr>
      <w:r>
        <w:rPr>
          <w:highlight w:val="none"/>
          <w:u w:val="none"/>
        </w:rPr>
        <w:t>租购聘对象及相关内容应及时同步在乡镇政务公开栏、项目所在村务公开栏进行公示，公示期不少于5个工作日，公示内容主要包括租（购、聘）对象、内容、单价、规格等。</w:t>
      </w:r>
    </w:p>
    <w:p w14:paraId="7526D7D6">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（四）签订租购聘协议（合同）</w:t>
      </w:r>
    </w:p>
    <w:p w14:paraId="0376EC79">
      <w:pPr>
        <w:spacing w:line="580" w:lineRule="exact"/>
        <w:rPr>
          <w:highlight w:val="none"/>
          <w:u w:val="none"/>
        </w:rPr>
      </w:pPr>
      <w:r>
        <w:rPr>
          <w:highlight w:val="none"/>
          <w:u w:val="none"/>
        </w:rPr>
        <w:t>项目理事会与租购聘对象签订《材料采购协议》《机械租赁协议》《聘请技术员协议》《材料运输协议》等。市场价格波动较大的物资仍需按会议议定、民主决策、公示监督的工作程序，分期分批采购。</w:t>
      </w:r>
    </w:p>
    <w:p w14:paraId="5DB71162">
      <w:pPr>
        <w:pStyle w:val="3"/>
        <w:rPr>
          <w:rFonts w:ascii="Times New Roman" w:hAnsi="Times New Roman" w:eastAsia="楷体_GB2312"/>
          <w:b/>
          <w:highlight w:val="none"/>
          <w:u w:val="none"/>
        </w:rPr>
      </w:pPr>
      <w:r>
        <w:rPr>
          <w:rFonts w:ascii="Times New Roman" w:hAnsi="Times New Roman" w:eastAsia="楷体_GB2312"/>
          <w:b/>
          <w:highlight w:val="none"/>
          <w:u w:val="none"/>
        </w:rPr>
        <w:t>（五）资金申领支付</w:t>
      </w:r>
    </w:p>
    <w:p w14:paraId="5BF33E0A">
      <w:pPr>
        <w:spacing w:line="580" w:lineRule="exact"/>
        <w:rPr>
          <w:highlight w:val="none"/>
          <w:u w:val="none"/>
        </w:rPr>
      </w:pPr>
      <w:r>
        <w:rPr>
          <w:highlight w:val="none"/>
          <w:u w:val="none"/>
        </w:rPr>
        <w:t>项目理事会将正式签订的租购聘相关协议、发票等作为资金申领报账的附件，按财务规定逐级审核报账。乡镇项目负责人、县级项目负责人须在资金申领报账单上签字认定。</w:t>
      </w:r>
    </w:p>
    <w:p w14:paraId="450739C9">
      <w:pPr>
        <w:spacing w:line="580" w:lineRule="exact"/>
        <w:rPr>
          <w:highlight w:val="none"/>
          <w:u w:val="none"/>
        </w:rPr>
      </w:pPr>
      <w:r>
        <w:rPr>
          <w:highlight w:val="none"/>
          <w:u w:val="none"/>
        </w:rPr>
        <w:t>在每一项物资采购和聘请、委托工作中，均需按规定采用会议民主议事、公开公示监督方式确定采购事项，确保群众在资金管理使用工作中的知情权、监督权。</w:t>
      </w:r>
    </w:p>
    <w:p w14:paraId="488D1F84">
      <w:pPr>
        <w:pStyle w:val="2"/>
        <w:keepNext w:val="0"/>
        <w:keepLines w:val="0"/>
        <w:spacing w:line="580" w:lineRule="exact"/>
        <w:rPr>
          <w:highlight w:val="none"/>
          <w:u w:val="none"/>
        </w:rPr>
      </w:pPr>
      <w:r>
        <w:rPr>
          <w:highlight w:val="none"/>
          <w:u w:val="none"/>
        </w:rPr>
        <w:t>六、物资管理（聘请、委托）</w:t>
      </w:r>
    </w:p>
    <w:p w14:paraId="7C3F417A">
      <w:pPr>
        <w:spacing w:line="580" w:lineRule="exact"/>
        <w:rPr>
          <w:highlight w:val="none"/>
          <w:u w:val="none"/>
        </w:rPr>
      </w:pPr>
      <w:r>
        <w:rPr>
          <w:highlight w:val="none"/>
          <w:u w:val="none"/>
        </w:rPr>
        <w:t>项目理事会按照聘请、委托合约（合同）严格对聘请专业技术人员、委托第三方机构进行管理。</w:t>
      </w:r>
    </w:p>
    <w:p w14:paraId="51468FF3">
      <w:pPr>
        <w:spacing w:line="580" w:lineRule="exact"/>
        <w:rPr>
          <w:highlight w:val="none"/>
          <w:u w:val="none"/>
        </w:rPr>
      </w:pPr>
      <w:r>
        <w:rPr>
          <w:highlight w:val="none"/>
          <w:u w:val="none"/>
        </w:rPr>
        <w:t>项目理事会制定物资保管制度，对项目物资统一实行出入库管理，确保账账相符、账实相符，确保出入库材料分类登记发放，并做好管理资料的存档工作。</w:t>
      </w:r>
    </w:p>
    <w:p w14:paraId="291F1301">
      <w:pPr>
        <w:spacing w:line="580" w:lineRule="exact"/>
        <w:rPr>
          <w:highlight w:val="none"/>
          <w:u w:val="none"/>
        </w:rPr>
      </w:pPr>
      <w:r>
        <w:rPr>
          <w:highlight w:val="none"/>
          <w:u w:val="none"/>
        </w:rPr>
        <w:t>物资保管组按照物资管理制度，建立物资出入库清单、领用手续，办理物资申领和发放，填写出入库记录；做好仓库内消防安全和清洁卫生，对物资分类堆放，健全安全标志；负责设备和材料的每日现场管理，按照当天用料计划办理领料、发料，确保当天领、当天用完，未用完的及时回库，做好记录；定期汇总物资库存情况，上报项目理事会。</w:t>
      </w:r>
    </w:p>
    <w:p w14:paraId="43F5F694">
      <w:pPr>
        <w:pStyle w:val="2"/>
        <w:keepNext w:val="0"/>
        <w:keepLines w:val="0"/>
        <w:spacing w:line="580" w:lineRule="exact"/>
        <w:rPr>
          <w:highlight w:val="none"/>
          <w:u w:val="none"/>
        </w:rPr>
      </w:pPr>
      <w:r>
        <w:rPr>
          <w:highlight w:val="none"/>
          <w:u w:val="none"/>
        </w:rPr>
        <w:t>七、资金管理</w:t>
      </w:r>
    </w:p>
    <w:p w14:paraId="250ADFBE">
      <w:pPr>
        <w:rPr>
          <w:highlight w:val="none"/>
          <w:u w:val="none"/>
        </w:rPr>
      </w:pPr>
      <w:r>
        <w:rPr>
          <w:highlight w:val="none"/>
          <w:u w:val="none"/>
        </w:rPr>
        <w:t>中央和省级以工代赈专项资金按照《山西省以工代赈管理实施细则》（晋发改赈发〔2023〕332号）等有关规定管理，实行专款专用，严禁挤占、挪用。</w:t>
      </w:r>
    </w:p>
    <w:p w14:paraId="2C343C23">
      <w:pPr>
        <w:rPr>
          <w:highlight w:val="none"/>
          <w:u w:val="none"/>
        </w:rPr>
      </w:pPr>
      <w:r>
        <w:rPr>
          <w:highlight w:val="none"/>
          <w:u w:val="none"/>
        </w:rPr>
        <w:t>县级发展改革部门督促指导乡镇政府、村民委员会、项目理事会制定项目资金管理具体工作制度，定人定岗定责，按照财务管理制度和以工代赈资金管理工作要求，确保资金安全，防止贪污腐败现象发生。</w:t>
      </w:r>
    </w:p>
    <w:p w14:paraId="42A12937">
      <w:pPr>
        <w:rPr>
          <w:highlight w:val="none"/>
          <w:u w:val="none"/>
        </w:rPr>
      </w:pPr>
      <w:r>
        <w:rPr>
          <w:highlight w:val="none"/>
          <w:u w:val="none"/>
        </w:rPr>
        <w:t>项目理事会成员按照承担的具体工作，可结合当地实际需要，领取误工补助。误工补助标准由村“两委”根据当地经济发展水平、物价水平和工作量等因素，以会议形式合理确定。对不参加项目务工的理事会成员发放误工补助，一般为普通工务工报酬标准50％以下；对既参加务工又参加项目理事会工作的，只领取务工劳务报酬，不得再领取误工补助。</w:t>
      </w:r>
    </w:p>
    <w:p w14:paraId="4C7DD099">
      <w:pPr>
        <w:rPr>
          <w:highlight w:val="none"/>
          <w:u w:val="none"/>
        </w:rPr>
      </w:pPr>
      <w:r>
        <w:rPr>
          <w:highlight w:val="none"/>
          <w:u w:val="none"/>
        </w:rPr>
        <w:t>误工补助由乡、村自筹资金解决，不得使用申请的中央和省级以工代赈专项资金。误工补助必须与劳务报酬发放一并在村务公开栏公示。乡镇政府项目负责人要监督误工补助发放工作，确保公开、公正。对发现的问题及时督促整改；对违规发放误工补助的行为，依法追究相关人员责任。</w:t>
      </w:r>
    </w:p>
    <w:p w14:paraId="26BC3C36">
      <w:pPr>
        <w:rPr>
          <w:highlight w:val="none"/>
          <w:u w:val="none"/>
        </w:rPr>
      </w:pPr>
      <w:r>
        <w:rPr>
          <w:rFonts w:hint="eastAsia"/>
          <w:highlight w:val="none"/>
          <w:u w:val="none"/>
        </w:rPr>
        <w:t>购买不记名工地团体意外险、施工租赁车辆或机械设备、聘用施工技术管理人员工资等费用可在申请的中央和省级以工代赈专项资金中列支，但不得计入劳务报酬。委托实施项目管理、质量监督的第三方机构的费用可使用中央和省级财政衔接资金，但不得使用中央预算内投资资金，且不得计入劳务报酬。</w:t>
      </w:r>
    </w:p>
    <w:p w14:paraId="017EEE74">
      <w:pPr>
        <w:pStyle w:val="2"/>
        <w:keepNext w:val="0"/>
        <w:keepLines w:val="0"/>
        <w:rPr>
          <w:highlight w:val="none"/>
          <w:u w:val="none"/>
        </w:rPr>
      </w:pPr>
      <w:r>
        <w:rPr>
          <w:highlight w:val="none"/>
          <w:u w:val="none"/>
        </w:rPr>
        <w:t>八、劳务报酬发放</w:t>
      </w:r>
    </w:p>
    <w:p w14:paraId="3C377B21">
      <w:pPr>
        <w:rPr>
          <w:highlight w:val="none"/>
          <w:u w:val="none"/>
        </w:rPr>
      </w:pPr>
      <w:r>
        <w:rPr>
          <w:highlight w:val="none"/>
          <w:u w:val="none"/>
        </w:rPr>
        <w:t>项目理事会根据务工考勤、包工计量和务工组织情况，按月形成《群众务工台账》，并根据务工台账形成《月应发劳务报酬村级公示表》。《月应发劳务报酬村级公示表》经村委会、乡镇审核后，在村务公开栏公示，公示期不少于7天。</w:t>
      </w:r>
    </w:p>
    <w:p w14:paraId="16F518D8">
      <w:pPr>
        <w:rPr>
          <w:highlight w:val="none"/>
          <w:u w:val="none"/>
        </w:rPr>
      </w:pPr>
      <w:r>
        <w:rPr>
          <w:highlight w:val="none"/>
          <w:u w:val="none"/>
        </w:rPr>
        <w:t>项目理事会将公示后《月应发劳务报酬村级公示表》作为资金申领报账的附件，按财务规定逐级审核报账。劳务报酬原则上须通过银行卡发放给务工群众，并及时打印银行回单留存核对，发放周期原则上不得超过1个月。</w:t>
      </w:r>
    </w:p>
    <w:p w14:paraId="6C095508">
      <w:pPr>
        <w:rPr>
          <w:highlight w:val="none"/>
          <w:u w:val="none"/>
        </w:rPr>
      </w:pPr>
      <w:r>
        <w:rPr>
          <w:highlight w:val="none"/>
          <w:u w:val="none"/>
        </w:rPr>
        <w:t>项目理事会应每月汇总建立《劳务报酬发放台账》，务工群众本人需在台账上签字并按手印确认。个别群众无法签字的，可委托他人代签，但须备注“××代”。乡镇项目负责人需在劳务报酬发放台账上签字确认。</w:t>
      </w:r>
    </w:p>
    <w:p w14:paraId="5547F070">
      <w:pPr>
        <w:pStyle w:val="2"/>
        <w:keepNext w:val="0"/>
        <w:keepLines w:val="0"/>
        <w:rPr>
          <w:highlight w:val="none"/>
          <w:u w:val="none"/>
        </w:rPr>
      </w:pPr>
      <w:r>
        <w:rPr>
          <w:highlight w:val="none"/>
          <w:u w:val="none"/>
        </w:rPr>
        <w:t>九、建设管理</w:t>
      </w:r>
    </w:p>
    <w:p w14:paraId="3FEBF945">
      <w:pPr>
        <w:rPr>
          <w:highlight w:val="none"/>
          <w:u w:val="none"/>
        </w:rPr>
      </w:pPr>
      <w:r>
        <w:rPr>
          <w:highlight w:val="none"/>
          <w:u w:val="none"/>
        </w:rPr>
        <w:t>县级发展改革部门会同乡镇政府、村“两委”及村务监督委员会对项目建设质量、资金安全、施工安全、落实以工代赈政策进行全过程监督；县级发展改革部门要建立工作机制，制定监管计划，常态化开展监管工作，指派专人指导和全过程参与项目质量监督、安全监督。</w:t>
      </w:r>
    </w:p>
    <w:p w14:paraId="302058AE">
      <w:pPr>
        <w:rPr>
          <w:highlight w:val="none"/>
          <w:u w:val="none"/>
        </w:rPr>
      </w:pPr>
      <w:r>
        <w:rPr>
          <w:highlight w:val="none"/>
          <w:u w:val="none"/>
        </w:rPr>
        <w:t>乡镇政府督促指导项目理事会按照《群众务工组织方案》落实务工以岗代训，及时填写《就业技能培训台账》并存档，有计划对群众培训成效进行考核。</w:t>
      </w:r>
    </w:p>
    <w:p w14:paraId="507F2946">
      <w:pPr>
        <w:rPr>
          <w:highlight w:val="none"/>
          <w:u w:val="none"/>
        </w:rPr>
      </w:pPr>
      <w:r>
        <w:rPr>
          <w:highlight w:val="none"/>
          <w:u w:val="none"/>
        </w:rPr>
        <w:t>项目理事会组织施工管理组、财务管理组、材料采购组、物资保管组、档案收集组开展项目各项建设管理工作，确保工程进度、工程质量、工程安全。施工过程中，在充分征求各方意见并达成一致的基础上，项目理事会可结合实际对施工方案进行适当调整，充分激发群众参与项目建设的积极性、主动性和创造性，更好满足群众生产生活需求。征求意见情况和施工方案调整情况应及时记录备查。</w:t>
      </w:r>
    </w:p>
    <w:p w14:paraId="64B3BE97">
      <w:pPr>
        <w:rPr>
          <w:highlight w:val="none"/>
          <w:u w:val="none"/>
        </w:rPr>
      </w:pPr>
      <w:r>
        <w:rPr>
          <w:highlight w:val="none"/>
          <w:u w:val="none"/>
        </w:rPr>
        <w:t>项目理事会督促指导质量监督组（或第三方监理机构）具体负责项目工程建设质量监督，完成《监督日志》或《监理日志》填写，并与施工管理组负责的施工日志、建设进度、务工考勤记录保持一致。项目工程质量实行“一票否决制”，凡是工程质量不合格或发生质量问题的必须限期整改，整改完成后，方可支付资金。项目理事会对工程建设中的质量问题、安全问题要做详细记录，并立行立改，确保工程质量。</w:t>
      </w:r>
    </w:p>
    <w:p w14:paraId="135ADE43">
      <w:pPr>
        <w:rPr>
          <w:highlight w:val="none"/>
          <w:u w:val="none"/>
        </w:rPr>
      </w:pPr>
      <w:r>
        <w:rPr>
          <w:highlight w:val="none"/>
          <w:u w:val="none"/>
        </w:rPr>
        <w:t>项目理事会督促指导施工管理组切实做好施工现场安全工作，根据情况可设置安全管理员，优先吸纳特殊困难群众、老党员、农村复退转军人等参与施工安全管理工作，并设置特殊岗位务工报酬标准。</w:t>
      </w:r>
    </w:p>
    <w:p w14:paraId="1D2AD5D6">
      <w:pPr>
        <w:rPr>
          <w:highlight w:val="none"/>
          <w:u w:val="none"/>
        </w:rPr>
      </w:pPr>
      <w:r>
        <w:rPr>
          <w:highlight w:val="none"/>
          <w:u w:val="none"/>
        </w:rPr>
        <w:t>项目理事会督促指导档案管理组对照以工代赈《项目基本档案资料参考目录》，同步做好施工进度、群众用工合同、身份证复印件、工程量签证单、工程任务书、设计变更单、施工图纸、工程自检、财务账单等资料整理归档，建立相关电子文档，便于查阅。</w:t>
      </w:r>
    </w:p>
    <w:p w14:paraId="7F7CE400">
      <w:pPr>
        <w:rPr>
          <w:highlight w:val="none"/>
          <w:u w:val="none"/>
        </w:rPr>
      </w:pPr>
      <w:r>
        <w:rPr>
          <w:highlight w:val="none"/>
          <w:u w:val="none"/>
        </w:rPr>
        <w:t>县级发展改革部门会同乡镇政府、村民委员会、项目理事会协调行业部门、县级平台公司加大对以工代赈村民自建项目的支持力度，充分利用砂石、水泥等物资在本地区生产、销售的资源优势，在价格、质量和供应时间上给予支持和帮助。</w:t>
      </w:r>
    </w:p>
    <w:p w14:paraId="1AF34232">
      <w:pPr>
        <w:rPr>
          <w:highlight w:val="none"/>
          <w:u w:val="none"/>
        </w:rPr>
      </w:pPr>
      <w:r>
        <w:rPr>
          <w:highlight w:val="none"/>
          <w:u w:val="none"/>
        </w:rPr>
        <w:t>县级发展改革部门指导乡镇政府、村“两委”在项目建设过程中切实维护好群众的务工权益，保障好群众的务工安全，不得随意辞退务工群众，坚决纠正一切损害群众利益的腐败行为和不正之风，在项目工程建设过程中不断提升基层组织管理项目、议事协商、服务群众的治理能力，助力实现乡村治理体系和治理能力现代化。</w:t>
      </w:r>
    </w:p>
    <w:p w14:paraId="06CDE4A7">
      <w:pPr>
        <w:pStyle w:val="2"/>
        <w:keepNext w:val="0"/>
        <w:keepLines w:val="0"/>
        <w:rPr>
          <w:highlight w:val="none"/>
          <w:u w:val="none"/>
        </w:rPr>
      </w:pPr>
      <w:r>
        <w:rPr>
          <w:highlight w:val="none"/>
          <w:u w:val="none"/>
        </w:rPr>
        <w:t>十、项目验收</w:t>
      </w:r>
    </w:p>
    <w:p w14:paraId="52EB6776">
      <w:pPr>
        <w:rPr>
          <w:highlight w:val="none"/>
          <w:u w:val="none"/>
        </w:rPr>
      </w:pPr>
      <w:r>
        <w:rPr>
          <w:highlight w:val="none"/>
          <w:u w:val="none"/>
        </w:rPr>
        <w:t>以工代赈村民自建项目验收由县级发展改革部门牵头，会同相关部门组成验收工作组，重点对项目建设质量、群众务工组织、劳务报酬发放、就业技能培训等以工代赈政策落实情况开展验收，并对项目发挥“赈”的作用效果进行评价。</w:t>
      </w:r>
    </w:p>
    <w:p w14:paraId="3E734F30">
      <w:pPr>
        <w:rPr>
          <w:highlight w:val="none"/>
          <w:u w:val="none"/>
        </w:rPr>
      </w:pPr>
      <w:r>
        <w:rPr>
          <w:highlight w:val="none"/>
          <w:u w:val="none"/>
        </w:rPr>
        <w:t>县级发展改革部门组织乡镇政府、村民委员会、项目理事会按程序逐级开展村级自验、乡镇初验、县级验收，对项目工程建设工作、工程量、工程质量、资金使用管理和以工代赈政策落实情况等开展全面验收，并参照以工代赈《项目验收综合评价表》对项目发挥以工代赈政策作用情况进行综合评价。</w:t>
      </w:r>
    </w:p>
    <w:p w14:paraId="45EA0010">
      <w:pPr>
        <w:rPr>
          <w:highlight w:val="none"/>
          <w:u w:val="none"/>
        </w:rPr>
      </w:pPr>
      <w:r>
        <w:rPr>
          <w:highlight w:val="none"/>
          <w:u w:val="none"/>
        </w:rPr>
        <w:t>在项目验收工作中，如涉及群众切身利益的务工劳务报酬、岗前技能培训、务工以岗代训、特殊岗位设置、产业技能培训、折股量化分红、公益性岗位安置、产业带动就业等赈济事项落实情况应进行重点核实。</w:t>
      </w:r>
    </w:p>
    <w:p w14:paraId="665181C8">
      <w:pPr>
        <w:pStyle w:val="2"/>
        <w:keepNext w:val="0"/>
        <w:keepLines w:val="0"/>
        <w:rPr>
          <w:highlight w:val="none"/>
          <w:u w:val="none"/>
        </w:rPr>
      </w:pPr>
      <w:r>
        <w:rPr>
          <w:highlight w:val="none"/>
          <w:u w:val="none"/>
        </w:rPr>
        <w:t>十一、竣工结算</w:t>
      </w:r>
    </w:p>
    <w:p w14:paraId="6ECC51BB">
      <w:pPr>
        <w:rPr>
          <w:highlight w:val="none"/>
          <w:u w:val="none"/>
        </w:rPr>
      </w:pPr>
      <w:r>
        <w:rPr>
          <w:highlight w:val="none"/>
          <w:u w:val="none"/>
        </w:rPr>
        <w:t>项目完工后，结算审计由县级发展改革部门或乡镇政府委托第三方审计机构依法依规实施。</w:t>
      </w:r>
    </w:p>
    <w:p w14:paraId="24338B32">
      <w:pPr>
        <w:rPr>
          <w:highlight w:val="none"/>
          <w:u w:val="none"/>
        </w:rPr>
      </w:pPr>
      <w:r>
        <w:rPr>
          <w:highlight w:val="none"/>
          <w:u w:val="none"/>
        </w:rPr>
        <w:t>第三方审计机构出具竣工结算审计结论。竣工结算审计结论需认定项目实施的实际工程量对应的投资金额，以及建设程序是否合规。审计结论可作为按租购聘合约有关条款要求，申请拨付结算资金的重要依据。建设程序不合规的项目，由县级发展改革部门督促乡镇政府、村民委员会、项目理事会限时整改。竣工结算审计结论和整改完成情况纳入项目档案资料。</w:t>
      </w:r>
    </w:p>
    <w:p w14:paraId="0870EE03">
      <w:pPr>
        <w:pStyle w:val="2"/>
        <w:keepNext w:val="0"/>
        <w:keepLines w:val="0"/>
        <w:rPr>
          <w:highlight w:val="none"/>
          <w:u w:val="none"/>
        </w:rPr>
      </w:pPr>
      <w:r>
        <w:rPr>
          <w:highlight w:val="none"/>
          <w:u w:val="none"/>
        </w:rPr>
        <w:t>十二、财务决算</w:t>
      </w:r>
    </w:p>
    <w:p w14:paraId="574FB56A">
      <w:pPr>
        <w:rPr>
          <w:highlight w:val="none"/>
          <w:u w:val="none"/>
        </w:rPr>
      </w:pPr>
      <w:r>
        <w:rPr>
          <w:highlight w:val="none"/>
          <w:u w:val="none"/>
        </w:rPr>
        <w:t>乡镇组织、指导村民委员会和项目理事会编报项目财务决算报表，并向县级财政部门提交项目决算申请。财务决算申请资料包括：项目可行性研究报告、施工图、工程量清单，以及工程监理、竣工结算审计等事项的过程资料及财务资料。县级财政部门出具财务决算批复。</w:t>
      </w:r>
    </w:p>
    <w:p w14:paraId="0C7CBAE5">
      <w:pPr>
        <w:rPr>
          <w:highlight w:val="none"/>
          <w:u w:val="none"/>
        </w:rPr>
      </w:pPr>
      <w:r>
        <w:rPr>
          <w:highlight w:val="none"/>
          <w:u w:val="none"/>
        </w:rPr>
        <w:t>根据财务决算批复，县级发展改革部门督促指导乡镇政府、村民委员会、项目理事会对提出的问题限期整改，财务决算批复和整改完成情况纳入项目档案资料。</w:t>
      </w:r>
    </w:p>
    <w:p w14:paraId="76F0B0E2">
      <w:pPr>
        <w:rPr>
          <w:highlight w:val="none"/>
          <w:u w:val="none"/>
        </w:rPr>
      </w:pPr>
      <w:r>
        <w:rPr>
          <w:highlight w:val="none"/>
          <w:u w:val="none"/>
        </w:rPr>
        <w:t>县级发展改革部门根据财务决算和项目审计结论明确的实际投资金额，确定项目结余资金或项目缺口资金。项目缺口资金由地方自行解决。结余资金必须用于实施以工代赈项目，由县级发展改革部门按程序报批。中央和省级以工代赈资金须经市级发展改革部门批复同意并报省发展改革委备案后方可调整使用。</w:t>
      </w:r>
    </w:p>
    <w:p w14:paraId="3AFA550B">
      <w:pPr>
        <w:pStyle w:val="2"/>
        <w:keepNext w:val="0"/>
        <w:keepLines w:val="0"/>
        <w:rPr>
          <w:highlight w:val="none"/>
          <w:u w:val="none"/>
        </w:rPr>
      </w:pPr>
      <w:r>
        <w:rPr>
          <w:highlight w:val="none"/>
          <w:u w:val="none"/>
        </w:rPr>
        <w:t>十三、公示公告</w:t>
      </w:r>
    </w:p>
    <w:p w14:paraId="41B1A7FE">
      <w:pPr>
        <w:rPr>
          <w:highlight w:val="none"/>
          <w:u w:val="none"/>
        </w:rPr>
      </w:pPr>
      <w:r>
        <w:rPr>
          <w:highlight w:val="none"/>
          <w:u w:val="none"/>
        </w:rPr>
        <w:t>项目开工前，村民委员会要在项目所在乡镇政务公开栏和村务公开栏分别进行项目公示，并持续公开到项目建成且公示期不得少于10天。公示内容包括：项目名称、资金来源及金额、建设地点、建设内容及规模、建设周期、监督举报电话等。</w:t>
      </w:r>
    </w:p>
    <w:p w14:paraId="52B4B853">
      <w:pPr>
        <w:rPr>
          <w:highlight w:val="none"/>
          <w:u w:val="none"/>
        </w:rPr>
      </w:pPr>
      <w:r>
        <w:rPr>
          <w:highlight w:val="none"/>
          <w:u w:val="none"/>
        </w:rPr>
        <w:t>项目建设中，村民委员会要在施工现场对项目名称、建设内容及规模、技术标准、施工期限、群众务工信息、劳务报酬发放情况、项目业主及负责人、施工单位及负责人、监理（监督）单位、监督举报电话等情况进行公示，按工种、工时公示劳务报酬发放标准及按月发放情况。</w:t>
      </w:r>
    </w:p>
    <w:p w14:paraId="7136D83F">
      <w:pPr>
        <w:rPr>
          <w:highlight w:val="none"/>
          <w:u w:val="none"/>
        </w:rPr>
      </w:pPr>
      <w:r>
        <w:rPr>
          <w:highlight w:val="none"/>
          <w:u w:val="none"/>
        </w:rPr>
        <w:t>项目建成后，村民委员会要在项目点设立《永久性公示牌》，内容包括项目名称、项目地点、建设内容及规模、资金投入、群众受益情况、项目主管单位、项目业主单位、项目施工单位、项目后续管护单位、建设时间、监督举报电话等信息。</w:t>
      </w:r>
    </w:p>
    <w:p w14:paraId="2C6510E6">
      <w:pPr>
        <w:pStyle w:val="2"/>
        <w:keepNext w:val="0"/>
        <w:keepLines w:val="0"/>
        <w:rPr>
          <w:highlight w:val="none"/>
          <w:u w:val="none"/>
        </w:rPr>
      </w:pPr>
      <w:r>
        <w:rPr>
          <w:highlight w:val="none"/>
          <w:u w:val="none"/>
        </w:rPr>
        <w:t>十四、移交管护</w:t>
      </w:r>
    </w:p>
    <w:p w14:paraId="1C6DE7B0">
      <w:pPr>
        <w:rPr>
          <w:highlight w:val="none"/>
          <w:u w:val="none"/>
        </w:rPr>
      </w:pPr>
      <w:r>
        <w:rPr>
          <w:highlight w:val="none"/>
          <w:u w:val="none"/>
        </w:rPr>
        <w:t>县级发展改革部门组织、指导乡镇政府、村民委员会、项目理事会将项目产权移交给项目所在乡镇政府或村民委员会，并完善移交手续，明确项目所有权、使用权和管护责任单位。</w:t>
      </w:r>
    </w:p>
    <w:p w14:paraId="5CB56654">
      <w:pPr>
        <w:rPr>
          <w:highlight w:val="none"/>
          <w:u w:val="none"/>
        </w:rPr>
      </w:pPr>
      <w:r>
        <w:rPr>
          <w:highlight w:val="none"/>
          <w:u w:val="none"/>
        </w:rPr>
        <w:t>项目移交后，管护责任单位负责落实管护经费，制定管护制度，指定管护责任人，确保项目长期发挥效益。后期管护优先吸纳脱贫户、易返贫致贫监测对象、易地搬迁脱贫群众、弱劳力、半劳力。</w:t>
      </w:r>
    </w:p>
    <w:p w14:paraId="608E8246">
      <w:pPr>
        <w:rPr>
          <w:highlight w:val="none"/>
          <w:u w:val="none"/>
        </w:rPr>
      </w:pPr>
      <w:r>
        <w:rPr>
          <w:highlight w:val="none"/>
          <w:u w:val="none"/>
        </w:rPr>
        <w:t>对于支持农村产业配套基础设施建设的以工代赈项目，县级发展改革部门要督促指导项目业主单位将以工代赈项目中财政资金形成的资产，折股量化给相关村集体经济组织、易地搬迁安置社区或村集体领办的农民专业合作社，指导龙头企业、政府平台公司等项目运营主体与其签订资产收益分红协议，建立完善的利益联结机制，督促项目运营主体按照协议约定支付分红收益，让群众持续分享收益。</w:t>
      </w:r>
    </w:p>
    <w:p w14:paraId="1C9A6C61">
      <w:pPr>
        <w:pStyle w:val="2"/>
        <w:keepNext w:val="0"/>
        <w:keepLines w:val="0"/>
        <w:rPr>
          <w:highlight w:val="none"/>
          <w:u w:val="none"/>
        </w:rPr>
      </w:pPr>
      <w:r>
        <w:rPr>
          <w:highlight w:val="none"/>
          <w:u w:val="none"/>
        </w:rPr>
        <w:t>十五、档案管理</w:t>
      </w:r>
    </w:p>
    <w:p w14:paraId="3E14E95A">
      <w:pPr>
        <w:rPr>
          <w:highlight w:val="none"/>
          <w:u w:val="none"/>
        </w:rPr>
      </w:pPr>
      <w:r>
        <w:rPr>
          <w:highlight w:val="none"/>
          <w:u w:val="none"/>
        </w:rPr>
        <w:t>县级发展改革部门组织、指导乡镇政府、村民委员会、项目理事会对项目有关资料进行分类保管、整理归档，按照全过程管理的要求，从项目申报到项目财务决算的各环节资料收集归档，不得遗漏或缺失。</w:t>
      </w:r>
    </w:p>
    <w:p w14:paraId="2EA0D8EA">
      <w:pPr>
        <w:rPr>
          <w:highlight w:val="none"/>
          <w:u w:val="none"/>
        </w:rPr>
      </w:pPr>
      <w:r>
        <w:rPr>
          <w:highlight w:val="none"/>
          <w:u w:val="none"/>
        </w:rPr>
        <w:t>对劳务报酬测算、劳务组织方案、劳务务工合约、团体意外险、报酬按月发放、银行卡转账支付、定人定岗定酬会议议定、赈济事项落实、设置特殊岗位、以工代赈综合成效验收等10项涉及群众切身利益事项的相关资料，必须做好存档工作。</w:t>
      </w:r>
    </w:p>
    <w:p w14:paraId="647B1BCB">
      <w:pPr>
        <w:pStyle w:val="2"/>
        <w:keepNext w:val="0"/>
        <w:keepLines w:val="0"/>
        <w:rPr>
          <w:highlight w:val="none"/>
          <w:u w:val="none"/>
        </w:rPr>
      </w:pPr>
      <w:r>
        <w:rPr>
          <w:highlight w:val="none"/>
          <w:u w:val="none"/>
        </w:rPr>
        <w:t>十六、其他</w:t>
      </w:r>
    </w:p>
    <w:p w14:paraId="427CB382">
      <w:pPr>
        <w:rPr>
          <w:highlight w:val="none"/>
          <w:u w:val="none"/>
        </w:rPr>
      </w:pPr>
      <w:r>
        <w:rPr>
          <w:highlight w:val="none"/>
          <w:u w:val="none"/>
        </w:rPr>
        <w:t>《群众务工组织工作方案》《群众务工台账》《月应发劳务报酬村级公示表》《劳务报酬发放台账》《就业技能培训台账》《项目基本档案参考目录》《项目验收综合评价表》《永久性公示牌》等应参考使用省发展改革委《关于推广使用国家以工代赈项目管理规范模板的通知》《山西省以工代赈项目可行性研究报告（或实施方案）参考提纲》中提供的模板。《租购聘工作建议方案》《材料采购协议》《机械租赁协议》《聘请技术员协议》《材料运输协议》参考使用文件后附模板。</w:t>
      </w:r>
    </w:p>
    <w:p w14:paraId="751740DE">
      <w:pPr>
        <w:rPr>
          <w:highlight w:val="none"/>
          <w:u w:val="none"/>
        </w:rPr>
      </w:pPr>
    </w:p>
    <w:p w14:paraId="3F68D286">
      <w:pPr>
        <w:ind w:firstLine="0" w:firstLineChars="0"/>
        <w:jc w:val="left"/>
        <w:rPr>
          <w:highlight w:val="none"/>
          <w:u w:val="none"/>
        </w:rPr>
      </w:pPr>
      <w:r>
        <w:rPr>
          <w:highlight w:val="none"/>
          <w:u w:val="none"/>
        </w:rPr>
        <w:br w:type="page"/>
      </w:r>
    </w:p>
    <w:p w14:paraId="713D019D">
      <w:pPr>
        <w:ind w:firstLine="0" w:firstLineChars="0"/>
        <w:rPr>
          <w:rFonts w:ascii="黑体" w:hAnsi="黑体" w:eastAsia="黑体" w:cs="黑体"/>
          <w:highlight w:val="none"/>
          <w:u w:val="none"/>
        </w:rPr>
      </w:pPr>
      <w:r>
        <w:rPr>
          <w:rFonts w:hint="eastAsia" w:ascii="黑体" w:hAnsi="黑体" w:eastAsia="黑体" w:cs="黑体"/>
          <w:highlight w:val="none"/>
          <w:u w:val="none"/>
        </w:rPr>
        <w:t>附</w:t>
      </w:r>
      <w:bookmarkStart w:id="0" w:name="_GoBack"/>
      <w:bookmarkEnd w:id="0"/>
    </w:p>
    <w:p w14:paraId="521EA588">
      <w:pPr>
        <w:rPr>
          <w:highlight w:val="none"/>
          <w:u w:val="none"/>
        </w:rPr>
      </w:pPr>
    </w:p>
    <w:p w14:paraId="410F52B2">
      <w:pPr>
        <w:pStyle w:val="16"/>
        <w:rPr>
          <w:rFonts w:ascii="Times New Roman" w:hAnsi="Times New Roman" w:cs="Times New Roman"/>
          <w:highlight w:val="none"/>
          <w:u w:val="none"/>
        </w:rPr>
      </w:pPr>
      <w:r>
        <w:rPr>
          <w:rFonts w:ascii="Times New Roman" w:hAnsi="Times New Roman" w:cs="Times New Roman"/>
          <w:highlight w:val="none"/>
          <w:u w:val="none"/>
        </w:rPr>
        <w:t>租购聘工作建议方案</w:t>
      </w:r>
    </w:p>
    <w:p w14:paraId="5C5F35D0">
      <w:pPr>
        <w:rPr>
          <w:highlight w:val="none"/>
          <w:u w:val="none"/>
        </w:rPr>
      </w:pPr>
    </w:p>
    <w:p w14:paraId="75F5877E">
      <w:pPr>
        <w:rPr>
          <w:highlight w:val="none"/>
          <w:u w:val="none"/>
        </w:rPr>
      </w:pPr>
      <w:r>
        <w:rPr>
          <w:highlight w:val="none"/>
          <w:u w:val="none"/>
        </w:rPr>
        <w:t>××年××月××日，××县级以工代赈项目负责人会同乡镇项目负责人、驻村工作队、村“两委”及村务监督委员会、项目理事会召开专题会议，主要对项目理事会草拟的《××县××镇2025年以工代赈项目租购聘工作建议方案》进行了审议，根据会议征求意见情况，修改完善了该项目租购聘工作建议方案，现提交村党员代表会议（或村民代表会议）进行表决。</w:t>
      </w:r>
    </w:p>
    <w:p w14:paraId="5B30EB72">
      <w:pPr>
        <w:pStyle w:val="2"/>
        <w:keepNext w:val="0"/>
        <w:keepLines w:val="0"/>
        <w:rPr>
          <w:highlight w:val="none"/>
          <w:u w:val="none"/>
        </w:rPr>
      </w:pPr>
      <w:r>
        <w:rPr>
          <w:highlight w:val="none"/>
          <w:u w:val="none"/>
        </w:rPr>
        <w:t>一、工程概况</w:t>
      </w:r>
    </w:p>
    <w:p w14:paraId="2D1F895B">
      <w:pPr>
        <w:rPr>
          <w:highlight w:val="none"/>
          <w:u w:val="none"/>
        </w:rPr>
      </w:pPr>
      <w:r>
        <w:rPr>
          <w:highlight w:val="none"/>
          <w:u w:val="none"/>
        </w:rPr>
        <w:t>××县××镇××年以工代赈项目位于××县××镇××村，项目业主单位为××镇××村村民委员会。项目建设内容为：……。计划建设工期为12个月，以上级资金到位后起算。</w:t>
      </w:r>
    </w:p>
    <w:p w14:paraId="217D8586">
      <w:pPr>
        <w:pStyle w:val="2"/>
        <w:keepNext w:val="0"/>
        <w:keepLines w:val="0"/>
        <w:rPr>
          <w:highlight w:val="none"/>
          <w:u w:val="none"/>
        </w:rPr>
      </w:pPr>
      <w:r>
        <w:rPr>
          <w:highlight w:val="none"/>
          <w:u w:val="none"/>
        </w:rPr>
        <w:t>二、租购聘主要内容</w:t>
      </w:r>
    </w:p>
    <w:p w14:paraId="7E4B60F7">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（一）机械机具租赁</w:t>
      </w:r>
    </w:p>
    <w:p w14:paraId="713CED8D">
      <w:pPr>
        <w:ind w:firstLine="0" w:firstLineChars="0"/>
        <w:jc w:val="center"/>
        <w:rPr>
          <w:b/>
          <w:bCs/>
          <w:highlight w:val="none"/>
          <w:u w:val="none"/>
        </w:rPr>
      </w:pPr>
      <w:r>
        <w:rPr>
          <w:b/>
          <w:bCs/>
          <w:highlight w:val="none"/>
          <w:u w:val="none"/>
        </w:rPr>
        <w:t>机械机具租赁清单和预估数量</w:t>
      </w:r>
    </w:p>
    <w:tbl>
      <w:tblPr>
        <w:tblStyle w:val="17"/>
        <w:tblW w:w="903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Layout w:type="fixed"/>
        <w:tblCellMar>
          <w:top w:w="75" w:type="dxa"/>
          <w:left w:w="150" w:type="dxa"/>
          <w:bottom w:w="75" w:type="dxa"/>
          <w:right w:w="150" w:type="dxa"/>
        </w:tblCellMar>
      </w:tblPr>
      <w:tblGrid>
        <w:gridCol w:w="845"/>
        <w:gridCol w:w="2290"/>
        <w:gridCol w:w="1332"/>
        <w:gridCol w:w="1106"/>
        <w:gridCol w:w="3457"/>
      </w:tblGrid>
      <w:tr w14:paraId="4CCC3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75" w:type="dxa"/>
            <w:left w:w="150" w:type="dxa"/>
            <w:bottom w:w="75" w:type="dxa"/>
            <w:right w:w="150" w:type="dxa"/>
          </w:tblCellMar>
        </w:tblPrEx>
        <w:trPr>
          <w:cantSplit/>
          <w:trHeight w:val="57" w:hRule="atLeast"/>
          <w:tblHeader/>
          <w:jc w:val="center"/>
        </w:trPr>
        <w:tc>
          <w:tcPr>
            <w:tcW w:w="845" w:type="dxa"/>
            <w:shd w:val="clear" w:color="auto" w:fill="FFFFFF"/>
            <w:vAlign w:val="center"/>
          </w:tcPr>
          <w:p w14:paraId="50F223CD">
            <w:pPr>
              <w:pStyle w:val="36"/>
              <w:rPr>
                <w:rFonts w:ascii="Times New Roman" w:hAnsi="Times New Roman" w:cs="Times New Roman"/>
                <w:highlight w:val="none"/>
                <w:u w:val="none"/>
              </w:rPr>
            </w:pPr>
            <w:r>
              <w:rPr>
                <w:rFonts w:ascii="Times New Roman" w:hAnsi="Times New Roman" w:cs="Times New Roman"/>
                <w:highlight w:val="none"/>
                <w:u w:val="none"/>
              </w:rPr>
              <w:t>机械种类</w:t>
            </w:r>
          </w:p>
        </w:tc>
        <w:tc>
          <w:tcPr>
            <w:tcW w:w="2290" w:type="dxa"/>
            <w:shd w:val="clear" w:color="auto" w:fill="FFFFFF"/>
            <w:vAlign w:val="center"/>
          </w:tcPr>
          <w:p w14:paraId="41C9DD40">
            <w:pPr>
              <w:pStyle w:val="36"/>
              <w:rPr>
                <w:rFonts w:ascii="Times New Roman" w:hAnsi="Times New Roman" w:cs="Times New Roman"/>
                <w:highlight w:val="none"/>
                <w:u w:val="none"/>
              </w:rPr>
            </w:pPr>
            <w:r>
              <w:rPr>
                <w:rFonts w:ascii="Times New Roman" w:hAnsi="Times New Roman" w:cs="Times New Roman"/>
                <w:highlight w:val="none"/>
                <w:u w:val="none"/>
              </w:rPr>
              <w:t>品名及型号</w:t>
            </w:r>
          </w:p>
        </w:tc>
        <w:tc>
          <w:tcPr>
            <w:tcW w:w="1332" w:type="dxa"/>
            <w:shd w:val="clear" w:color="auto" w:fill="FFFFFF"/>
            <w:vAlign w:val="center"/>
          </w:tcPr>
          <w:p w14:paraId="265832CD">
            <w:pPr>
              <w:pStyle w:val="36"/>
              <w:rPr>
                <w:rFonts w:ascii="Times New Roman" w:hAnsi="Times New Roman" w:cs="Times New Roman"/>
                <w:highlight w:val="none"/>
                <w:u w:val="none"/>
              </w:rPr>
            </w:pPr>
            <w:r>
              <w:rPr>
                <w:rFonts w:ascii="Times New Roman" w:hAnsi="Times New Roman" w:cs="Times New Roman"/>
                <w:highlight w:val="none"/>
                <w:u w:val="none"/>
              </w:rPr>
              <w:t>预估</w:t>
            </w:r>
          </w:p>
          <w:p w14:paraId="63D7173A">
            <w:pPr>
              <w:pStyle w:val="36"/>
              <w:rPr>
                <w:rFonts w:ascii="Times New Roman" w:hAnsi="Times New Roman" w:cs="Times New Roman"/>
                <w:highlight w:val="none"/>
                <w:u w:val="none"/>
              </w:rPr>
            </w:pPr>
            <w:r>
              <w:rPr>
                <w:rFonts w:ascii="Times New Roman" w:hAnsi="Times New Roman" w:cs="Times New Roman"/>
                <w:highlight w:val="none"/>
                <w:u w:val="none"/>
              </w:rPr>
              <w:t>数量</w:t>
            </w:r>
          </w:p>
        </w:tc>
        <w:tc>
          <w:tcPr>
            <w:tcW w:w="1106" w:type="dxa"/>
            <w:shd w:val="clear" w:color="auto" w:fill="FFFFFF"/>
            <w:vAlign w:val="center"/>
          </w:tcPr>
          <w:p w14:paraId="155B5108">
            <w:pPr>
              <w:pStyle w:val="36"/>
              <w:rPr>
                <w:rFonts w:ascii="Times New Roman" w:hAnsi="Times New Roman" w:cs="Times New Roman"/>
                <w:highlight w:val="none"/>
                <w:u w:val="none"/>
              </w:rPr>
            </w:pPr>
            <w:r>
              <w:rPr>
                <w:rFonts w:ascii="Times New Roman" w:hAnsi="Times New Roman" w:cs="Times New Roman"/>
                <w:highlight w:val="none"/>
                <w:u w:val="none"/>
              </w:rPr>
              <w:t>供货</w:t>
            </w:r>
          </w:p>
          <w:p w14:paraId="6CE81D0E">
            <w:pPr>
              <w:pStyle w:val="36"/>
              <w:rPr>
                <w:rFonts w:ascii="Times New Roman" w:hAnsi="Times New Roman" w:cs="Times New Roman"/>
                <w:highlight w:val="none"/>
                <w:u w:val="none"/>
              </w:rPr>
            </w:pPr>
            <w:r>
              <w:rPr>
                <w:rFonts w:ascii="Times New Roman" w:hAnsi="Times New Roman" w:cs="Times New Roman"/>
                <w:highlight w:val="none"/>
                <w:u w:val="none"/>
              </w:rPr>
              <w:t>要求</w:t>
            </w:r>
          </w:p>
        </w:tc>
        <w:tc>
          <w:tcPr>
            <w:tcW w:w="3457" w:type="dxa"/>
            <w:shd w:val="clear" w:color="auto" w:fill="FFFFFF"/>
            <w:vAlign w:val="center"/>
          </w:tcPr>
          <w:p w14:paraId="490A38E0">
            <w:pPr>
              <w:pStyle w:val="36"/>
              <w:rPr>
                <w:rFonts w:ascii="Times New Roman" w:hAnsi="Times New Roman" w:cs="Times New Roman"/>
                <w:highlight w:val="none"/>
                <w:u w:val="none"/>
              </w:rPr>
            </w:pPr>
            <w:r>
              <w:rPr>
                <w:rFonts w:ascii="Times New Roman" w:hAnsi="Times New Roman" w:cs="Times New Roman"/>
                <w:highlight w:val="none"/>
                <w:u w:val="none"/>
              </w:rPr>
              <w:t>备注</w:t>
            </w:r>
          </w:p>
        </w:tc>
      </w:tr>
      <w:tr w14:paraId="4CF4A2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75" w:type="dxa"/>
            <w:left w:w="150" w:type="dxa"/>
            <w:bottom w:w="75" w:type="dxa"/>
            <w:right w:w="150" w:type="dxa"/>
          </w:tblCellMar>
        </w:tblPrEx>
        <w:trPr>
          <w:trHeight w:val="57" w:hRule="atLeast"/>
          <w:jc w:val="center"/>
        </w:trPr>
        <w:tc>
          <w:tcPr>
            <w:tcW w:w="845" w:type="dxa"/>
            <w:vMerge w:val="restart"/>
            <w:shd w:val="clear" w:color="auto" w:fill="FFFFFF"/>
            <w:vAlign w:val="center"/>
          </w:tcPr>
          <w:p w14:paraId="7283116C">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机械</w:t>
            </w:r>
          </w:p>
        </w:tc>
        <w:tc>
          <w:tcPr>
            <w:tcW w:w="2290" w:type="dxa"/>
            <w:shd w:val="clear" w:color="auto" w:fill="FFFFFF"/>
            <w:vAlign w:val="center"/>
          </w:tcPr>
          <w:p w14:paraId="34DEC133">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型挖掘机</w:t>
            </w:r>
          </w:p>
        </w:tc>
        <w:tc>
          <w:tcPr>
            <w:tcW w:w="1332" w:type="dxa"/>
            <w:shd w:val="clear" w:color="auto" w:fill="FFFFFF"/>
            <w:vAlign w:val="center"/>
          </w:tcPr>
          <w:p w14:paraId="1984EB5C">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台</w:t>
            </w:r>
          </w:p>
        </w:tc>
        <w:tc>
          <w:tcPr>
            <w:tcW w:w="1106" w:type="dxa"/>
            <w:shd w:val="clear" w:color="auto" w:fill="FFFFFF"/>
            <w:vAlign w:val="center"/>
          </w:tcPr>
          <w:p w14:paraId="643C4C43">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运送至指定地点</w:t>
            </w:r>
          </w:p>
        </w:tc>
        <w:tc>
          <w:tcPr>
            <w:tcW w:w="3457" w:type="dxa"/>
            <w:shd w:val="clear" w:color="auto" w:fill="FFFFFF"/>
            <w:vAlign w:val="center"/>
          </w:tcPr>
          <w:p w14:paraId="0FF45EA8">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含燃油、操作人员及维修，结算时提供正规发票，驾驶员需持有特种设备操作证、意外保险凭证，车辆证照齐全</w:t>
            </w:r>
          </w:p>
        </w:tc>
      </w:tr>
      <w:tr w14:paraId="1A20E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75" w:type="dxa"/>
            <w:left w:w="150" w:type="dxa"/>
            <w:bottom w:w="75" w:type="dxa"/>
            <w:right w:w="150" w:type="dxa"/>
          </w:tblCellMar>
        </w:tblPrEx>
        <w:trPr>
          <w:trHeight w:val="710" w:hRule="atLeast"/>
          <w:jc w:val="center"/>
        </w:trPr>
        <w:tc>
          <w:tcPr>
            <w:tcW w:w="845" w:type="dxa"/>
            <w:vMerge w:val="continue"/>
            <w:shd w:val="clear" w:color="auto" w:fill="FFFFFF"/>
            <w:vAlign w:val="center"/>
          </w:tcPr>
          <w:p w14:paraId="3242C422">
            <w:pPr>
              <w:pStyle w:val="36"/>
              <w:rPr>
                <w:rFonts w:ascii="Times New Roman" w:hAnsi="Times New Roman" w:eastAsia="仿宋_GB2312" w:cs="Times New Roman"/>
                <w:highlight w:val="none"/>
                <w:u w:val="none"/>
              </w:rPr>
            </w:pPr>
          </w:p>
        </w:tc>
        <w:tc>
          <w:tcPr>
            <w:tcW w:w="2290" w:type="dxa"/>
            <w:shd w:val="clear" w:color="auto" w:fill="FFFFFF"/>
            <w:vAlign w:val="center"/>
          </w:tcPr>
          <w:p w14:paraId="31852EF5">
            <w:pPr>
              <w:pStyle w:val="36"/>
              <w:rPr>
                <w:rFonts w:ascii="Times New Roman" w:hAnsi="Times New Roman" w:eastAsia="仿宋_GB2312" w:cs="Times New Roman"/>
                <w:sz w:val="32"/>
                <w:highlight w:val="none"/>
                <w:u w:val="none"/>
              </w:rPr>
            </w:pPr>
            <w:r>
              <w:rPr>
                <w:rFonts w:ascii="Times New Roman" w:hAnsi="Times New Roman" w:eastAsia="仿宋_GB2312" w:cs="Times New Roman"/>
                <w:sz w:val="32"/>
                <w:highlight w:val="none"/>
                <w:u w:val="none"/>
              </w:rPr>
              <w:t>……</w:t>
            </w:r>
          </w:p>
        </w:tc>
        <w:tc>
          <w:tcPr>
            <w:tcW w:w="1332" w:type="dxa"/>
            <w:shd w:val="clear" w:color="auto" w:fill="FFFFFF"/>
            <w:vAlign w:val="center"/>
          </w:tcPr>
          <w:p w14:paraId="74F3DBE5">
            <w:pPr>
              <w:pStyle w:val="36"/>
              <w:rPr>
                <w:rFonts w:ascii="Times New Roman" w:hAnsi="Times New Roman" w:eastAsia="仿宋_GB2312" w:cs="Times New Roman"/>
                <w:sz w:val="32"/>
                <w:highlight w:val="none"/>
                <w:u w:val="none"/>
              </w:rPr>
            </w:pPr>
            <w:r>
              <w:rPr>
                <w:rFonts w:ascii="Times New Roman" w:hAnsi="Times New Roman" w:eastAsia="仿宋_GB2312" w:cs="Times New Roman"/>
                <w:sz w:val="32"/>
                <w:highlight w:val="none"/>
                <w:u w:val="none"/>
              </w:rPr>
              <w:t>……</w:t>
            </w:r>
          </w:p>
        </w:tc>
        <w:tc>
          <w:tcPr>
            <w:tcW w:w="1106" w:type="dxa"/>
            <w:shd w:val="clear" w:color="auto" w:fill="FFFFFF"/>
            <w:vAlign w:val="center"/>
          </w:tcPr>
          <w:p w14:paraId="44B25327">
            <w:pPr>
              <w:pStyle w:val="36"/>
              <w:jc w:val="left"/>
              <w:rPr>
                <w:rFonts w:ascii="Times New Roman" w:hAnsi="Times New Roman" w:eastAsia="仿宋_GB2312" w:cs="Times New Roman"/>
                <w:sz w:val="32"/>
                <w:highlight w:val="none"/>
                <w:u w:val="none"/>
              </w:rPr>
            </w:pPr>
            <w:r>
              <w:rPr>
                <w:rFonts w:ascii="Times New Roman" w:hAnsi="Times New Roman" w:eastAsia="仿宋_GB2312" w:cs="Times New Roman"/>
                <w:sz w:val="32"/>
                <w:highlight w:val="none"/>
                <w:u w:val="none"/>
              </w:rPr>
              <w:t>……</w:t>
            </w:r>
          </w:p>
        </w:tc>
        <w:tc>
          <w:tcPr>
            <w:tcW w:w="3457" w:type="dxa"/>
            <w:shd w:val="clear" w:color="auto" w:fill="FFFFFF"/>
            <w:vAlign w:val="center"/>
          </w:tcPr>
          <w:p w14:paraId="62B6C7F4">
            <w:pPr>
              <w:pStyle w:val="36"/>
              <w:jc w:val="left"/>
              <w:rPr>
                <w:rFonts w:ascii="Times New Roman" w:hAnsi="Times New Roman" w:eastAsia="仿宋_GB2312" w:cs="Times New Roman"/>
                <w:sz w:val="32"/>
                <w:highlight w:val="none"/>
                <w:u w:val="none"/>
              </w:rPr>
            </w:pPr>
            <w:r>
              <w:rPr>
                <w:rFonts w:ascii="Times New Roman" w:hAnsi="Times New Roman" w:eastAsia="仿宋_GB2312" w:cs="Times New Roman"/>
                <w:sz w:val="32"/>
                <w:highlight w:val="none"/>
                <w:u w:val="none"/>
              </w:rPr>
              <w:t>……</w:t>
            </w:r>
          </w:p>
        </w:tc>
      </w:tr>
      <w:tr w14:paraId="2BC375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75" w:type="dxa"/>
            <w:left w:w="150" w:type="dxa"/>
            <w:bottom w:w="75" w:type="dxa"/>
            <w:right w:w="150" w:type="dxa"/>
          </w:tblCellMar>
        </w:tblPrEx>
        <w:trPr>
          <w:trHeight w:val="2297" w:hRule="atLeast"/>
          <w:jc w:val="center"/>
        </w:trPr>
        <w:tc>
          <w:tcPr>
            <w:tcW w:w="845" w:type="dxa"/>
            <w:shd w:val="clear" w:color="auto" w:fill="FFFFFF"/>
            <w:vAlign w:val="center"/>
          </w:tcPr>
          <w:p w14:paraId="05CA7612">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道路混凝土硬化全套设备</w:t>
            </w:r>
          </w:p>
        </w:tc>
        <w:tc>
          <w:tcPr>
            <w:tcW w:w="2290" w:type="dxa"/>
            <w:shd w:val="clear" w:color="auto" w:fill="FFFFFF"/>
            <w:vAlign w:val="center"/>
          </w:tcPr>
          <w:p w14:paraId="78627DFE">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罐型搅拌机、混凝土运输车、上料装载机、切割机、振动棒、发电机、磨光机、振平尺、水泵、架管（扣件）、支木模板（含路边沟支木模板）等。</w:t>
            </w:r>
          </w:p>
        </w:tc>
        <w:tc>
          <w:tcPr>
            <w:tcW w:w="1332" w:type="dxa"/>
            <w:shd w:val="clear" w:color="auto" w:fill="FFFFFF"/>
            <w:vAlign w:val="center"/>
          </w:tcPr>
          <w:p w14:paraId="13142A76">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套</w:t>
            </w:r>
          </w:p>
        </w:tc>
        <w:tc>
          <w:tcPr>
            <w:tcW w:w="1106" w:type="dxa"/>
            <w:shd w:val="clear" w:color="auto" w:fill="FFFFFF"/>
            <w:vAlign w:val="center"/>
          </w:tcPr>
          <w:p w14:paraId="6A1D3E11">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包干价，含运送至指定地点</w:t>
            </w:r>
          </w:p>
        </w:tc>
        <w:tc>
          <w:tcPr>
            <w:tcW w:w="3457" w:type="dxa"/>
            <w:shd w:val="clear" w:color="auto" w:fill="FFFFFF"/>
            <w:vAlign w:val="center"/>
          </w:tcPr>
          <w:p w14:paraId="749311A8">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混凝土运输车、上料装载机均包含燃油、操作人员及维修；发电机、振平尺含燃油、维修。机械机具性能良好，国家或者行业要求的相关证照必须齐全。</w:t>
            </w:r>
          </w:p>
        </w:tc>
      </w:tr>
      <w:tr w14:paraId="21893A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75" w:type="dxa"/>
            <w:left w:w="150" w:type="dxa"/>
            <w:bottom w:w="75" w:type="dxa"/>
            <w:right w:w="150" w:type="dxa"/>
          </w:tblCellMar>
        </w:tblPrEx>
        <w:trPr>
          <w:trHeight w:val="740" w:hRule="atLeast"/>
          <w:jc w:val="center"/>
        </w:trPr>
        <w:tc>
          <w:tcPr>
            <w:tcW w:w="845" w:type="dxa"/>
            <w:shd w:val="clear" w:color="auto" w:fill="FFFFFF"/>
            <w:vAlign w:val="center"/>
          </w:tcPr>
          <w:p w14:paraId="47248C2D">
            <w:pPr>
              <w:pStyle w:val="36"/>
              <w:rPr>
                <w:rFonts w:ascii="Times New Roman" w:hAnsi="Times New Roman" w:cs="Times New Roman"/>
                <w:highlight w:val="none"/>
                <w:u w:val="none"/>
              </w:rPr>
            </w:pPr>
            <w:r>
              <w:rPr>
                <w:rFonts w:ascii="Times New Roman" w:hAnsi="Times New Roman" w:cs="Times New Roman"/>
                <w:highlight w:val="none"/>
                <w:u w:val="none"/>
              </w:rPr>
              <w:t>…</w:t>
            </w:r>
          </w:p>
        </w:tc>
        <w:tc>
          <w:tcPr>
            <w:tcW w:w="2290" w:type="dxa"/>
            <w:shd w:val="clear" w:color="auto" w:fill="FFFFFF"/>
            <w:vAlign w:val="center"/>
          </w:tcPr>
          <w:p w14:paraId="093B3159">
            <w:pPr>
              <w:pStyle w:val="36"/>
              <w:rPr>
                <w:rFonts w:ascii="Times New Roman" w:hAnsi="Times New Roman" w:cs="Times New Roman"/>
                <w:highlight w:val="none"/>
                <w:u w:val="none"/>
              </w:rPr>
            </w:pPr>
            <w:r>
              <w:rPr>
                <w:rFonts w:ascii="Times New Roman" w:hAnsi="Times New Roman" w:cs="Times New Roman"/>
                <w:highlight w:val="none"/>
                <w:u w:val="none"/>
              </w:rPr>
              <w:t>……</w:t>
            </w:r>
          </w:p>
        </w:tc>
        <w:tc>
          <w:tcPr>
            <w:tcW w:w="1332" w:type="dxa"/>
            <w:shd w:val="clear" w:color="auto" w:fill="FFFFFF"/>
            <w:vAlign w:val="center"/>
          </w:tcPr>
          <w:p w14:paraId="26B043DE">
            <w:pPr>
              <w:pStyle w:val="36"/>
              <w:rPr>
                <w:rFonts w:ascii="Times New Roman" w:hAnsi="Times New Roman" w:eastAsia="仿宋_GB2312" w:cs="Times New Roman"/>
                <w:sz w:val="32"/>
                <w:highlight w:val="none"/>
                <w:u w:val="none"/>
              </w:rPr>
            </w:pPr>
            <w:r>
              <w:rPr>
                <w:rFonts w:ascii="Times New Roman" w:hAnsi="Times New Roman" w:eastAsia="仿宋_GB2312" w:cs="Times New Roman"/>
                <w:sz w:val="32"/>
                <w:highlight w:val="none"/>
                <w:u w:val="none"/>
              </w:rPr>
              <w:t>……</w:t>
            </w:r>
          </w:p>
        </w:tc>
        <w:tc>
          <w:tcPr>
            <w:tcW w:w="1106" w:type="dxa"/>
            <w:shd w:val="clear" w:color="auto" w:fill="FFFFFF"/>
            <w:vAlign w:val="center"/>
          </w:tcPr>
          <w:p w14:paraId="72B7D7CD">
            <w:pPr>
              <w:pStyle w:val="36"/>
              <w:jc w:val="left"/>
              <w:rPr>
                <w:rFonts w:ascii="Times New Roman" w:hAnsi="Times New Roman" w:cs="Times New Roman"/>
                <w:highlight w:val="none"/>
                <w:u w:val="none"/>
              </w:rPr>
            </w:pPr>
            <w:r>
              <w:rPr>
                <w:rFonts w:ascii="Times New Roman" w:hAnsi="Times New Roman" w:cs="Times New Roman"/>
                <w:highlight w:val="none"/>
                <w:u w:val="none"/>
              </w:rPr>
              <w:t>……</w:t>
            </w:r>
          </w:p>
        </w:tc>
        <w:tc>
          <w:tcPr>
            <w:tcW w:w="3457" w:type="dxa"/>
            <w:shd w:val="clear" w:color="auto" w:fill="FFFFFF"/>
            <w:vAlign w:val="center"/>
          </w:tcPr>
          <w:p w14:paraId="4776975D">
            <w:pPr>
              <w:pStyle w:val="36"/>
              <w:jc w:val="left"/>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p>
        </w:tc>
      </w:tr>
    </w:tbl>
    <w:p w14:paraId="2393E85D">
      <w:pPr>
        <w:pStyle w:val="3"/>
        <w:rPr>
          <w:rFonts w:ascii="Times New Roman" w:hAnsi="Times New Roman" w:eastAsia="楷体_GB2312"/>
          <w:b/>
          <w:highlight w:val="none"/>
          <w:u w:val="none"/>
        </w:rPr>
      </w:pPr>
      <w:r>
        <w:rPr>
          <w:rFonts w:ascii="Times New Roman" w:hAnsi="Times New Roman" w:eastAsia="楷体_GB2312"/>
          <w:b/>
          <w:highlight w:val="none"/>
          <w:u w:val="none"/>
        </w:rPr>
        <w:t>（二）物资购买</w:t>
      </w:r>
    </w:p>
    <w:p w14:paraId="2A7E3563">
      <w:pPr>
        <w:ind w:firstLine="0" w:firstLineChars="0"/>
        <w:jc w:val="center"/>
        <w:rPr>
          <w:b/>
          <w:bCs/>
          <w:highlight w:val="none"/>
          <w:u w:val="none"/>
        </w:rPr>
      </w:pPr>
      <w:r>
        <w:rPr>
          <w:b/>
          <w:bCs/>
          <w:highlight w:val="none"/>
          <w:u w:val="none"/>
        </w:rPr>
        <w:t>材料采购清单和预估数量</w:t>
      </w:r>
    </w:p>
    <w:tbl>
      <w:tblPr>
        <w:tblStyle w:val="17"/>
        <w:tblW w:w="91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635"/>
        <w:gridCol w:w="1309"/>
        <w:gridCol w:w="2576"/>
        <w:gridCol w:w="2488"/>
      </w:tblGrid>
      <w:tr w14:paraId="2A4B0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41" w:type="dxa"/>
            <w:vAlign w:val="center"/>
          </w:tcPr>
          <w:p w14:paraId="093B6C5D">
            <w:pPr>
              <w:pStyle w:val="36"/>
              <w:rPr>
                <w:rFonts w:ascii="Times New Roman" w:hAnsi="Times New Roman" w:cs="Times New Roman"/>
                <w:highlight w:val="none"/>
                <w:u w:val="none"/>
              </w:rPr>
            </w:pPr>
            <w:r>
              <w:rPr>
                <w:rFonts w:ascii="Times New Roman" w:hAnsi="Times New Roman" w:cs="Times New Roman"/>
                <w:highlight w:val="none"/>
                <w:u w:val="none"/>
              </w:rPr>
              <w:t>材料</w:t>
            </w:r>
          </w:p>
          <w:p w14:paraId="048C45DE">
            <w:pPr>
              <w:pStyle w:val="36"/>
              <w:rPr>
                <w:rFonts w:ascii="Times New Roman" w:hAnsi="Times New Roman" w:cs="Times New Roman"/>
                <w:highlight w:val="none"/>
                <w:u w:val="none"/>
              </w:rPr>
            </w:pPr>
            <w:r>
              <w:rPr>
                <w:rFonts w:ascii="Times New Roman" w:hAnsi="Times New Roman" w:cs="Times New Roman"/>
                <w:highlight w:val="none"/>
                <w:u w:val="none"/>
              </w:rPr>
              <w:t>名称</w:t>
            </w:r>
          </w:p>
        </w:tc>
        <w:tc>
          <w:tcPr>
            <w:tcW w:w="1635" w:type="dxa"/>
            <w:vAlign w:val="center"/>
          </w:tcPr>
          <w:p w14:paraId="76676F97">
            <w:pPr>
              <w:pStyle w:val="36"/>
              <w:rPr>
                <w:rFonts w:ascii="Times New Roman" w:hAnsi="Times New Roman" w:cs="Times New Roman"/>
                <w:highlight w:val="none"/>
                <w:u w:val="none"/>
              </w:rPr>
            </w:pPr>
            <w:r>
              <w:rPr>
                <w:rFonts w:ascii="Times New Roman" w:hAnsi="Times New Roman" w:cs="Times New Roman"/>
                <w:highlight w:val="none"/>
                <w:u w:val="none"/>
              </w:rPr>
              <w:t>规格及型号</w:t>
            </w:r>
          </w:p>
        </w:tc>
        <w:tc>
          <w:tcPr>
            <w:tcW w:w="1309" w:type="dxa"/>
            <w:vAlign w:val="center"/>
          </w:tcPr>
          <w:p w14:paraId="4350804D">
            <w:pPr>
              <w:pStyle w:val="36"/>
              <w:rPr>
                <w:rFonts w:ascii="Times New Roman" w:hAnsi="Times New Roman" w:cs="Times New Roman"/>
                <w:highlight w:val="none"/>
                <w:u w:val="none"/>
              </w:rPr>
            </w:pPr>
            <w:r>
              <w:rPr>
                <w:rFonts w:ascii="Times New Roman" w:hAnsi="Times New Roman" w:cs="Times New Roman"/>
                <w:highlight w:val="none"/>
                <w:u w:val="none"/>
              </w:rPr>
              <w:t>预估</w:t>
            </w:r>
          </w:p>
          <w:p w14:paraId="1D62AEC3">
            <w:pPr>
              <w:pStyle w:val="36"/>
              <w:rPr>
                <w:rFonts w:ascii="Times New Roman" w:hAnsi="Times New Roman" w:cs="Times New Roman"/>
                <w:highlight w:val="none"/>
                <w:u w:val="none"/>
              </w:rPr>
            </w:pPr>
            <w:r>
              <w:rPr>
                <w:rFonts w:ascii="Times New Roman" w:hAnsi="Times New Roman" w:cs="Times New Roman"/>
                <w:highlight w:val="none"/>
                <w:u w:val="none"/>
              </w:rPr>
              <w:t>数量</w:t>
            </w:r>
          </w:p>
        </w:tc>
        <w:tc>
          <w:tcPr>
            <w:tcW w:w="2576" w:type="dxa"/>
            <w:vAlign w:val="center"/>
          </w:tcPr>
          <w:p w14:paraId="6A2F1097">
            <w:pPr>
              <w:pStyle w:val="36"/>
              <w:rPr>
                <w:rFonts w:ascii="Times New Roman" w:hAnsi="Times New Roman" w:cs="Times New Roman"/>
                <w:highlight w:val="none"/>
                <w:u w:val="none"/>
              </w:rPr>
            </w:pPr>
            <w:r>
              <w:rPr>
                <w:rFonts w:ascii="Times New Roman" w:hAnsi="Times New Roman" w:cs="Times New Roman"/>
                <w:highlight w:val="none"/>
                <w:u w:val="none"/>
              </w:rPr>
              <w:t>供货要求</w:t>
            </w:r>
          </w:p>
        </w:tc>
        <w:tc>
          <w:tcPr>
            <w:tcW w:w="2488" w:type="dxa"/>
            <w:vAlign w:val="center"/>
          </w:tcPr>
          <w:p w14:paraId="78C0F25E">
            <w:pPr>
              <w:pStyle w:val="36"/>
              <w:rPr>
                <w:rFonts w:ascii="Times New Roman" w:hAnsi="Times New Roman" w:cs="Times New Roman"/>
                <w:highlight w:val="none"/>
                <w:u w:val="none"/>
              </w:rPr>
            </w:pPr>
            <w:r>
              <w:rPr>
                <w:rFonts w:ascii="Times New Roman" w:hAnsi="Times New Roman" w:cs="Times New Roman"/>
                <w:highlight w:val="none"/>
                <w:u w:val="none"/>
              </w:rPr>
              <w:t>备注</w:t>
            </w:r>
          </w:p>
        </w:tc>
      </w:tr>
      <w:tr w14:paraId="5E868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1141" w:type="dxa"/>
            <w:vAlign w:val="center"/>
          </w:tcPr>
          <w:p w14:paraId="2F61AAE1">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水泥</w:t>
            </w:r>
          </w:p>
        </w:tc>
        <w:tc>
          <w:tcPr>
            <w:tcW w:w="1635" w:type="dxa"/>
            <w:vAlign w:val="center"/>
          </w:tcPr>
          <w:p w14:paraId="094A1C56">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型号</w:t>
            </w:r>
          </w:p>
        </w:tc>
        <w:tc>
          <w:tcPr>
            <w:tcW w:w="1309" w:type="dxa"/>
            <w:vAlign w:val="center"/>
          </w:tcPr>
          <w:p w14:paraId="5FAE67D2">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吨</w:t>
            </w:r>
          </w:p>
        </w:tc>
        <w:tc>
          <w:tcPr>
            <w:tcW w:w="2576" w:type="dxa"/>
            <w:vAlign w:val="center"/>
          </w:tcPr>
          <w:p w14:paraId="05E2171E">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供货时须提供产品合格证。</w:t>
            </w:r>
          </w:p>
        </w:tc>
        <w:tc>
          <w:tcPr>
            <w:tcW w:w="2488" w:type="dxa"/>
            <w:vAlign w:val="center"/>
          </w:tcPr>
          <w:p w14:paraId="22DB9932">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含运输费用及上车费用，但不含下车费用。</w:t>
            </w:r>
          </w:p>
        </w:tc>
      </w:tr>
      <w:tr w14:paraId="0AF06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141" w:type="dxa"/>
            <w:vAlign w:val="center"/>
          </w:tcPr>
          <w:p w14:paraId="44EBCB01">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钢筋</w:t>
            </w:r>
          </w:p>
        </w:tc>
        <w:tc>
          <w:tcPr>
            <w:tcW w:w="1635" w:type="dxa"/>
            <w:vAlign w:val="center"/>
          </w:tcPr>
          <w:p w14:paraId="328CB8A1">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型号</w:t>
            </w:r>
          </w:p>
        </w:tc>
        <w:tc>
          <w:tcPr>
            <w:tcW w:w="1309" w:type="dxa"/>
            <w:vAlign w:val="center"/>
          </w:tcPr>
          <w:p w14:paraId="7632DDEC">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吨</w:t>
            </w:r>
          </w:p>
        </w:tc>
        <w:tc>
          <w:tcPr>
            <w:tcW w:w="2576" w:type="dxa"/>
            <w:vAlign w:val="center"/>
          </w:tcPr>
          <w:p w14:paraId="22C0B39E">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供货时须提供产品合格证。</w:t>
            </w:r>
          </w:p>
        </w:tc>
        <w:tc>
          <w:tcPr>
            <w:tcW w:w="2488" w:type="dxa"/>
            <w:vAlign w:val="center"/>
          </w:tcPr>
          <w:p w14:paraId="5DE07CC2">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含运送至指定地点。</w:t>
            </w:r>
          </w:p>
        </w:tc>
      </w:tr>
      <w:tr w14:paraId="6E690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20" w:hRule="atLeast"/>
          <w:jc w:val="center"/>
        </w:trPr>
        <w:tc>
          <w:tcPr>
            <w:tcW w:w="1141" w:type="dxa"/>
            <w:vAlign w:val="center"/>
          </w:tcPr>
          <w:p w14:paraId="3B075550">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机砂</w:t>
            </w:r>
          </w:p>
        </w:tc>
        <w:tc>
          <w:tcPr>
            <w:tcW w:w="1635" w:type="dxa"/>
            <w:vAlign w:val="center"/>
          </w:tcPr>
          <w:p w14:paraId="2A59F146">
            <w:pPr>
              <w:pStyle w:val="36"/>
              <w:rPr>
                <w:rFonts w:ascii="Times New Roman" w:hAnsi="Times New Roman"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型号</w:t>
            </w:r>
          </w:p>
        </w:tc>
        <w:tc>
          <w:tcPr>
            <w:tcW w:w="1309" w:type="dxa"/>
            <w:vAlign w:val="center"/>
          </w:tcPr>
          <w:p w14:paraId="2BA47006">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吨</w:t>
            </w:r>
          </w:p>
        </w:tc>
        <w:tc>
          <w:tcPr>
            <w:tcW w:w="2576" w:type="dxa"/>
            <w:vAlign w:val="center"/>
          </w:tcPr>
          <w:p w14:paraId="6809B96B">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供货时须提供含泥量检测报告及吨与立方米的比率。</w:t>
            </w:r>
          </w:p>
        </w:tc>
        <w:tc>
          <w:tcPr>
            <w:tcW w:w="2488" w:type="dxa"/>
            <w:vAlign w:val="center"/>
          </w:tcPr>
          <w:p w14:paraId="493F7D2C">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报价时明确山料或河料，含泥量，体积及重量比。含运输费用及上下车费用。</w:t>
            </w:r>
          </w:p>
        </w:tc>
      </w:tr>
      <w:tr w14:paraId="614A1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141" w:type="dxa"/>
            <w:vAlign w:val="center"/>
          </w:tcPr>
          <w:p w14:paraId="504F93B4">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 xml:space="preserve">碎石 </w:t>
            </w:r>
          </w:p>
        </w:tc>
        <w:tc>
          <w:tcPr>
            <w:tcW w:w="1635" w:type="dxa"/>
            <w:vAlign w:val="center"/>
          </w:tcPr>
          <w:p w14:paraId="533FF60E">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型号</w:t>
            </w:r>
          </w:p>
        </w:tc>
        <w:tc>
          <w:tcPr>
            <w:tcW w:w="1309" w:type="dxa"/>
            <w:vAlign w:val="center"/>
          </w:tcPr>
          <w:p w14:paraId="31FF6639">
            <w:pPr>
              <w:pStyle w:val="36"/>
              <w:rPr>
                <w:rFonts w:ascii="Times New Roman" w:hAnsi="Times New Roman" w:eastAsia="仿宋_GB2312" w:cs="Times New Roman"/>
                <w:highlight w:val="none"/>
                <w:u w:val="none"/>
              </w:rPr>
            </w:pPr>
            <w:r>
              <w:rPr>
                <w:rFonts w:ascii="Times New Roman" w:hAnsi="Times New Roman" w:eastAsia="仿宋_GB2312" w:cs="Times New Roman"/>
                <w:sz w:val="32"/>
                <w:highlight w:val="none"/>
                <w:u w:val="none"/>
              </w:rPr>
              <w:t>××</w:t>
            </w:r>
            <w:r>
              <w:rPr>
                <w:rFonts w:ascii="Times New Roman" w:hAnsi="Times New Roman" w:eastAsia="仿宋_GB2312" w:cs="Times New Roman"/>
                <w:highlight w:val="none"/>
                <w:u w:val="none"/>
              </w:rPr>
              <w:t>吨</w:t>
            </w:r>
          </w:p>
        </w:tc>
        <w:tc>
          <w:tcPr>
            <w:tcW w:w="2576" w:type="dxa"/>
            <w:vAlign w:val="center"/>
          </w:tcPr>
          <w:p w14:paraId="5D46DD11">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供货时提供抗压强度检测报告及吨与立方米在合理幅度内的比率。</w:t>
            </w:r>
          </w:p>
        </w:tc>
        <w:tc>
          <w:tcPr>
            <w:tcW w:w="2488" w:type="dxa"/>
            <w:vAlign w:val="center"/>
          </w:tcPr>
          <w:p w14:paraId="31A7F8CE">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报价时明确山料或河料，含泥量，体积及重量比。含运输及上下车费，运送至指定地点。</w:t>
            </w:r>
          </w:p>
          <w:p w14:paraId="6ECFE5C7">
            <w:pPr>
              <w:pStyle w:val="36"/>
              <w:jc w:val="left"/>
              <w:rPr>
                <w:rFonts w:ascii="Times New Roman" w:hAnsi="Times New Roman" w:eastAsia="仿宋_GB2312" w:cs="Times New Roman"/>
                <w:highlight w:val="none"/>
                <w:u w:val="none"/>
              </w:rPr>
            </w:pPr>
          </w:p>
        </w:tc>
      </w:tr>
      <w:tr w14:paraId="6B073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141" w:type="dxa"/>
            <w:vAlign w:val="center"/>
          </w:tcPr>
          <w:p w14:paraId="3381F271">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排水管</w:t>
            </w:r>
          </w:p>
        </w:tc>
        <w:tc>
          <w:tcPr>
            <w:tcW w:w="1635" w:type="dxa"/>
            <w:vAlign w:val="center"/>
          </w:tcPr>
          <w:p w14:paraId="31DBD602">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××型号</w:t>
            </w:r>
          </w:p>
        </w:tc>
        <w:tc>
          <w:tcPr>
            <w:tcW w:w="1309" w:type="dxa"/>
            <w:vAlign w:val="center"/>
          </w:tcPr>
          <w:p w14:paraId="2AD7737A">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××米</w:t>
            </w:r>
          </w:p>
        </w:tc>
        <w:tc>
          <w:tcPr>
            <w:tcW w:w="2576" w:type="dxa"/>
            <w:vAlign w:val="center"/>
          </w:tcPr>
          <w:p w14:paraId="4E0F5F11">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供货时提供产品合格证</w:t>
            </w:r>
          </w:p>
        </w:tc>
        <w:tc>
          <w:tcPr>
            <w:tcW w:w="2488" w:type="dxa"/>
            <w:vAlign w:val="center"/>
          </w:tcPr>
          <w:p w14:paraId="0E542001">
            <w:pPr>
              <w:pStyle w:val="36"/>
              <w:jc w:val="left"/>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含运输及上下车费，运送至指定地点。</w:t>
            </w:r>
          </w:p>
        </w:tc>
      </w:tr>
      <w:tr w14:paraId="74AB4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141" w:type="dxa"/>
            <w:vAlign w:val="center"/>
          </w:tcPr>
          <w:p w14:paraId="2B6B7008">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w:t>
            </w:r>
          </w:p>
          <w:p w14:paraId="68F7E745">
            <w:pPr>
              <w:pStyle w:val="36"/>
              <w:rPr>
                <w:rFonts w:ascii="Times New Roman" w:hAnsi="Times New Roman" w:eastAsia="仿宋_GB2312" w:cs="Times New Roman"/>
                <w:highlight w:val="none"/>
                <w:u w:val="none"/>
              </w:rPr>
            </w:pPr>
          </w:p>
        </w:tc>
        <w:tc>
          <w:tcPr>
            <w:tcW w:w="1635" w:type="dxa"/>
            <w:vAlign w:val="center"/>
          </w:tcPr>
          <w:p w14:paraId="23481E6B">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w:t>
            </w:r>
          </w:p>
          <w:p w14:paraId="70292093">
            <w:pPr>
              <w:pStyle w:val="36"/>
              <w:rPr>
                <w:rFonts w:ascii="Times New Roman" w:hAnsi="Times New Roman" w:eastAsia="仿宋_GB2312" w:cs="Times New Roman"/>
                <w:highlight w:val="none"/>
                <w:u w:val="none"/>
              </w:rPr>
            </w:pPr>
          </w:p>
        </w:tc>
        <w:tc>
          <w:tcPr>
            <w:tcW w:w="1309" w:type="dxa"/>
            <w:vAlign w:val="center"/>
          </w:tcPr>
          <w:p w14:paraId="4D724B59">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w:t>
            </w:r>
          </w:p>
          <w:p w14:paraId="2A970CE5">
            <w:pPr>
              <w:pStyle w:val="36"/>
              <w:rPr>
                <w:rFonts w:ascii="Times New Roman" w:hAnsi="Times New Roman" w:eastAsia="仿宋_GB2312" w:cs="Times New Roman"/>
                <w:highlight w:val="none"/>
                <w:u w:val="none"/>
              </w:rPr>
            </w:pPr>
          </w:p>
        </w:tc>
        <w:tc>
          <w:tcPr>
            <w:tcW w:w="2576" w:type="dxa"/>
            <w:vAlign w:val="center"/>
          </w:tcPr>
          <w:p w14:paraId="3D6A4524">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w:t>
            </w:r>
          </w:p>
          <w:p w14:paraId="3FE37E79">
            <w:pPr>
              <w:pStyle w:val="36"/>
              <w:rPr>
                <w:rFonts w:ascii="Times New Roman" w:hAnsi="Times New Roman" w:eastAsia="仿宋_GB2312" w:cs="Times New Roman"/>
                <w:highlight w:val="none"/>
                <w:u w:val="none"/>
              </w:rPr>
            </w:pPr>
          </w:p>
        </w:tc>
        <w:tc>
          <w:tcPr>
            <w:tcW w:w="2488" w:type="dxa"/>
            <w:vAlign w:val="center"/>
          </w:tcPr>
          <w:p w14:paraId="0AC3ACB3">
            <w:pPr>
              <w:pStyle w:val="36"/>
              <w:rPr>
                <w:rFonts w:ascii="Times New Roman" w:hAnsi="Times New Roman" w:eastAsia="仿宋_GB2312" w:cs="Times New Roman"/>
                <w:highlight w:val="none"/>
                <w:u w:val="none"/>
              </w:rPr>
            </w:pPr>
            <w:r>
              <w:rPr>
                <w:rFonts w:ascii="Times New Roman" w:hAnsi="Times New Roman" w:eastAsia="仿宋_GB2312" w:cs="Times New Roman"/>
                <w:highlight w:val="none"/>
                <w:u w:val="none"/>
              </w:rPr>
              <w:t>……</w:t>
            </w:r>
          </w:p>
          <w:p w14:paraId="2DA348A2">
            <w:pPr>
              <w:pStyle w:val="36"/>
              <w:rPr>
                <w:rFonts w:ascii="Times New Roman" w:hAnsi="Times New Roman" w:eastAsia="仿宋_GB2312" w:cs="Times New Roman"/>
                <w:highlight w:val="none"/>
                <w:u w:val="none"/>
              </w:rPr>
            </w:pPr>
          </w:p>
        </w:tc>
      </w:tr>
    </w:tbl>
    <w:p w14:paraId="13C0DF04">
      <w:pPr>
        <w:pStyle w:val="3"/>
        <w:rPr>
          <w:rFonts w:ascii="Times New Roman" w:hAnsi="Times New Roman" w:eastAsia="楷体_GB2312"/>
          <w:b/>
          <w:highlight w:val="none"/>
          <w:u w:val="none"/>
        </w:rPr>
      </w:pPr>
      <w:r>
        <w:rPr>
          <w:rFonts w:ascii="Times New Roman" w:hAnsi="Times New Roman" w:eastAsia="楷体_GB2312"/>
          <w:b/>
          <w:highlight w:val="none"/>
          <w:u w:val="none"/>
        </w:rPr>
        <w:t>（三）聘请技术人员</w:t>
      </w:r>
    </w:p>
    <w:p w14:paraId="300F866C">
      <w:pPr>
        <w:rPr>
          <w:highlight w:val="none"/>
          <w:u w:val="none"/>
        </w:rPr>
      </w:pPr>
      <w:r>
        <w:rPr>
          <w:highlight w:val="none"/>
          <w:u w:val="none"/>
        </w:rPr>
        <w:t>本项目需聘用施工管理员、质量监督员、档案收集员（以下简称“三员”）各×名，工资标准参照定人定岗定酬方案。三员全过程在施工现场工作，接受考勤，按月领取工资，并对施工管理、工程质量、档案收集出现问题承担相应责任。</w:t>
      </w:r>
    </w:p>
    <w:p w14:paraId="1E117726">
      <w:pPr>
        <w:rPr>
          <w:highlight w:val="none"/>
          <w:u w:val="none"/>
        </w:rPr>
      </w:pPr>
      <w:r>
        <w:rPr>
          <w:highlight w:val="none"/>
          <w:u w:val="none"/>
        </w:rPr>
        <w:t>或：本项目不需聘请“三员”。</w:t>
      </w:r>
    </w:p>
    <w:p w14:paraId="7210D00D">
      <w:pPr>
        <w:pStyle w:val="2"/>
        <w:keepNext w:val="0"/>
        <w:keepLines w:val="0"/>
        <w:rPr>
          <w:highlight w:val="none"/>
          <w:u w:val="none"/>
        </w:rPr>
      </w:pPr>
      <w:r>
        <w:rPr>
          <w:highlight w:val="none"/>
          <w:u w:val="none"/>
        </w:rPr>
        <w:t>三、租购聘对象及条件</w:t>
      </w:r>
    </w:p>
    <w:p w14:paraId="533770F8">
      <w:pPr>
        <w:pStyle w:val="3"/>
        <w:rPr>
          <w:rFonts w:ascii="Times New Roman" w:hAnsi="Times New Roman" w:eastAsia="楷体_GB2312"/>
          <w:b/>
          <w:highlight w:val="none"/>
          <w:u w:val="none"/>
        </w:rPr>
      </w:pPr>
      <w:r>
        <w:rPr>
          <w:rFonts w:ascii="Times New Roman" w:hAnsi="Times New Roman" w:eastAsia="楷体_GB2312"/>
          <w:b/>
          <w:highlight w:val="none"/>
          <w:u w:val="none"/>
        </w:rPr>
        <w:t>（一）机械（机具）租赁</w:t>
      </w:r>
    </w:p>
    <w:p w14:paraId="192D6DA5">
      <w:pPr>
        <w:rPr>
          <w:highlight w:val="none"/>
          <w:u w:val="none"/>
        </w:rPr>
      </w:pPr>
      <w:r>
        <w:rPr>
          <w:highlight w:val="none"/>
          <w:u w:val="none"/>
        </w:rPr>
        <w:t>1.机械租赁对象为：公司、个体工商户或自然人，公司或个体工商户需具有相应的营业执照，自然人手续齐全，机械操作人员要持特种设备操作证上岗，经营范围要满足项目施工对机械设备的要求。</w:t>
      </w:r>
    </w:p>
    <w:p w14:paraId="26338DF2">
      <w:pPr>
        <w:rPr>
          <w:highlight w:val="none"/>
          <w:u w:val="none"/>
        </w:rPr>
      </w:pPr>
      <w:r>
        <w:rPr>
          <w:highlight w:val="none"/>
          <w:u w:val="none"/>
        </w:rPr>
        <w:t>2.机械（机具）设备应在保险期内，在租用期间发生机械故障，由出租方负责维修维护，并承担相关费用，不得影响租赁方正常施工进度，若3日内不能维修好的，由出租方更换相同类型机械，若因机械故障造成租赁方损失的，由出租方承担。</w:t>
      </w:r>
    </w:p>
    <w:p w14:paraId="0E673F30">
      <w:pPr>
        <w:rPr>
          <w:highlight w:val="none"/>
          <w:u w:val="none"/>
        </w:rPr>
      </w:pPr>
      <w:r>
        <w:rPr>
          <w:highlight w:val="none"/>
          <w:u w:val="none"/>
        </w:rPr>
        <w:t>3.中选供应商提供的机械及操作手必须全额购买安全意外保险。</w:t>
      </w:r>
    </w:p>
    <w:p w14:paraId="4BDEB5FD">
      <w:pPr>
        <w:pStyle w:val="3"/>
        <w:rPr>
          <w:rFonts w:ascii="Times New Roman" w:hAnsi="Times New Roman" w:eastAsia="楷体_GB2312"/>
          <w:b/>
          <w:highlight w:val="none"/>
          <w:u w:val="none"/>
        </w:rPr>
      </w:pPr>
      <w:r>
        <w:rPr>
          <w:rFonts w:ascii="Times New Roman" w:hAnsi="Times New Roman" w:eastAsia="楷体_GB2312"/>
          <w:b/>
          <w:highlight w:val="none"/>
          <w:u w:val="none"/>
        </w:rPr>
        <w:t>（二）材料供应商</w:t>
      </w:r>
    </w:p>
    <w:p w14:paraId="7A120828">
      <w:pPr>
        <w:rPr>
          <w:highlight w:val="none"/>
          <w:u w:val="none"/>
        </w:rPr>
      </w:pPr>
      <w:r>
        <w:rPr>
          <w:highlight w:val="none"/>
          <w:u w:val="none"/>
        </w:rPr>
        <w:t>主材类：主要为水泥、砂、块石、石子等。公司或个体工商户，具有相应的营业执照，且符合经营范围，确定为供货商后需提供相关原材料质量检测报告，供货途中发生的任何意外，由供货方负责。</w:t>
      </w:r>
    </w:p>
    <w:p w14:paraId="58295C47">
      <w:pPr>
        <w:rPr>
          <w:highlight w:val="none"/>
          <w:u w:val="none"/>
        </w:rPr>
      </w:pPr>
      <w:r>
        <w:rPr>
          <w:highlight w:val="none"/>
          <w:u w:val="none"/>
        </w:rPr>
        <w:t>辅材类：如栏杆、警示桩、土工布、排水管、波纹管、涵管、安全门、铁丝、铁钉等辅材。由项目理事会向村“两委”提出申请批准，由材料采购组自行采购，在保证材料质量的前提下，采购价格不得高于市场价格，同时做好材料入库出库登记造册工作。</w:t>
      </w:r>
    </w:p>
    <w:p w14:paraId="1454D58E">
      <w:pPr>
        <w:pStyle w:val="2"/>
        <w:keepNext w:val="0"/>
        <w:keepLines w:val="0"/>
        <w:rPr>
          <w:highlight w:val="none"/>
          <w:u w:val="none"/>
        </w:rPr>
      </w:pPr>
      <w:r>
        <w:rPr>
          <w:highlight w:val="none"/>
          <w:u w:val="none"/>
        </w:rPr>
        <w:t>四、租购聘询价比价</w:t>
      </w:r>
    </w:p>
    <w:p w14:paraId="42DDB2B9">
      <w:pPr>
        <w:pStyle w:val="3"/>
        <w:rPr>
          <w:rFonts w:ascii="Times New Roman" w:hAnsi="Times New Roman" w:eastAsia="楷体_GB2312"/>
          <w:b/>
          <w:highlight w:val="none"/>
          <w:u w:val="none"/>
        </w:rPr>
      </w:pPr>
      <w:r>
        <w:rPr>
          <w:rFonts w:ascii="Times New Roman" w:hAnsi="Times New Roman" w:eastAsia="楷体_GB2312"/>
          <w:b/>
          <w:highlight w:val="none"/>
          <w:u w:val="none"/>
        </w:rPr>
        <w:t>（一）“询比”工作组组成</w:t>
      </w:r>
    </w:p>
    <w:p w14:paraId="28FC54E6">
      <w:pPr>
        <w:rPr>
          <w:highlight w:val="none"/>
          <w:u w:val="none"/>
        </w:rPr>
      </w:pPr>
      <w:r>
        <w:rPr>
          <w:highlight w:val="none"/>
          <w:u w:val="none"/>
        </w:rPr>
        <w:t>组长：×××   材料采购组组长</w:t>
      </w:r>
    </w:p>
    <w:p w14:paraId="20F28A86">
      <w:pPr>
        <w:rPr>
          <w:highlight w:val="none"/>
          <w:u w:val="none"/>
        </w:rPr>
      </w:pPr>
      <w:r>
        <w:rPr>
          <w:highlight w:val="none"/>
          <w:u w:val="none"/>
        </w:rPr>
        <w:t>成员：×××   材料采购组成员</w:t>
      </w:r>
    </w:p>
    <w:p w14:paraId="18EC0BC8">
      <w:pPr>
        <w:ind w:firstLine="1600" w:firstLineChars="500"/>
        <w:rPr>
          <w:highlight w:val="none"/>
          <w:u w:val="none"/>
        </w:rPr>
      </w:pPr>
      <w:r>
        <w:rPr>
          <w:highlight w:val="none"/>
          <w:u w:val="none"/>
        </w:rPr>
        <w:t>×××   施工管理组组长</w:t>
      </w:r>
    </w:p>
    <w:p w14:paraId="09F9A88D">
      <w:pPr>
        <w:ind w:firstLine="1600" w:firstLineChars="500"/>
        <w:rPr>
          <w:highlight w:val="none"/>
          <w:u w:val="none"/>
        </w:rPr>
      </w:pPr>
      <w:r>
        <w:rPr>
          <w:highlight w:val="none"/>
          <w:u w:val="none"/>
        </w:rPr>
        <w:t>×××   质量监督组组长</w:t>
      </w:r>
    </w:p>
    <w:p w14:paraId="5D9342B7">
      <w:pPr>
        <w:ind w:firstLine="1600" w:firstLineChars="500"/>
        <w:rPr>
          <w:highlight w:val="none"/>
          <w:u w:val="none"/>
        </w:rPr>
      </w:pPr>
      <w:r>
        <w:rPr>
          <w:highlight w:val="none"/>
          <w:u w:val="none"/>
        </w:rPr>
        <w:t>×××   财务管理组组长</w:t>
      </w:r>
    </w:p>
    <w:p w14:paraId="7796BB5E">
      <w:pPr>
        <w:ind w:firstLine="1600" w:firstLineChars="500"/>
        <w:rPr>
          <w:highlight w:val="none"/>
          <w:u w:val="none"/>
        </w:rPr>
      </w:pPr>
      <w:r>
        <w:rPr>
          <w:highlight w:val="none"/>
          <w:u w:val="none"/>
        </w:rPr>
        <w:t>×××   档案管理组组长</w:t>
      </w:r>
    </w:p>
    <w:p w14:paraId="185C8E95">
      <w:pPr>
        <w:ind w:firstLine="1600" w:firstLineChars="500"/>
        <w:rPr>
          <w:highlight w:val="none"/>
          <w:u w:val="none"/>
        </w:rPr>
      </w:pPr>
      <w:r>
        <w:rPr>
          <w:highlight w:val="none"/>
          <w:u w:val="none"/>
        </w:rPr>
        <w:t>×××   物资管理组组长</w:t>
      </w:r>
    </w:p>
    <w:p w14:paraId="6A9F0C38">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（二）询价比价时间</w:t>
      </w:r>
    </w:p>
    <w:p w14:paraId="770430F4">
      <w:pPr>
        <w:rPr>
          <w:highlight w:val="none"/>
          <w:u w:val="none"/>
        </w:rPr>
      </w:pPr>
      <w:r>
        <w:rPr>
          <w:highlight w:val="none"/>
          <w:u w:val="none"/>
        </w:rPr>
        <w:t>自发布公告之日起10个工作日内结束。</w:t>
      </w:r>
    </w:p>
    <w:p w14:paraId="6C9645E0">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（三）询价比价方式</w:t>
      </w:r>
    </w:p>
    <w:p w14:paraId="5931BAA2">
      <w:pPr>
        <w:rPr>
          <w:highlight w:val="none"/>
          <w:u w:val="none"/>
        </w:rPr>
      </w:pPr>
      <w:r>
        <w:rPr>
          <w:highlight w:val="none"/>
          <w:u w:val="none"/>
        </w:rPr>
        <w:t>该项目采取“线上+线下”相结合的方式开展询价工作，为提高项目建设质效，有利于基层治理工作，对工程所需的水泥、砂石等主要材料采取线上、线下方式，扩大知晓面；对机械（机具、设备）租赁采取线下问询（电话问、现场问）方式。开展线上线下询价工作均不得少于2人，收集线上密封的报价资料需要登记记录。询价结束后，询价组召开“评比”会议，对公告响应人及线下问询情况评比排序，梳理清单。</w:t>
      </w:r>
    </w:p>
    <w:p w14:paraId="1F787B4C">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（四）询价比价程序</w:t>
      </w:r>
    </w:p>
    <w:p w14:paraId="00FCBADF">
      <w:pPr>
        <w:ind w:firstLine="653"/>
        <w:rPr>
          <w:b/>
          <w:bCs/>
          <w:highlight w:val="none"/>
          <w:u w:val="none"/>
        </w:rPr>
      </w:pPr>
      <w:r>
        <w:rPr>
          <w:b/>
          <w:bCs/>
          <w:highlight w:val="none"/>
          <w:u w:val="none"/>
        </w:rPr>
        <w:t>1.发布询价比价公告</w:t>
      </w:r>
    </w:p>
    <w:p w14:paraId="35B8E199">
      <w:pPr>
        <w:rPr>
          <w:highlight w:val="none"/>
          <w:u w:val="none"/>
        </w:rPr>
      </w:pPr>
      <w:r>
        <w:rPr>
          <w:highlight w:val="none"/>
          <w:u w:val="none"/>
        </w:rPr>
        <w:t>租购聘工作方案经召开村党员代表会议（或村民代表会议）表决通过后，同时拟定询价比价公告，对拟购买的物资及机械机具租赁在县政府网站、乡镇政务公开栏、项目村务公开栏发布询价比价公告。询价公告中须明确租购的类别、预估数量、报价范围、报价要求、联系人及联系电话等，符合法律法规及相关政策要求。公告公示时间不少于5个工作日。</w:t>
      </w:r>
    </w:p>
    <w:p w14:paraId="663EB0F0">
      <w:pPr>
        <w:ind w:firstLine="653"/>
        <w:rPr>
          <w:b/>
          <w:bCs/>
          <w:highlight w:val="none"/>
          <w:u w:val="none"/>
        </w:rPr>
      </w:pPr>
      <w:r>
        <w:rPr>
          <w:b/>
          <w:bCs/>
          <w:highlight w:val="none"/>
          <w:u w:val="none"/>
        </w:rPr>
        <w:t>2.开展问询工作</w:t>
      </w:r>
    </w:p>
    <w:p w14:paraId="52D54A68">
      <w:pPr>
        <w:rPr>
          <w:highlight w:val="none"/>
          <w:u w:val="none"/>
        </w:rPr>
      </w:pPr>
      <w:r>
        <w:rPr>
          <w:highlight w:val="none"/>
          <w:u w:val="none"/>
        </w:rPr>
        <w:t>（1）“询比”工作组人员开展线下实地询价，收集审核线上报价资料，审核营业执照、经营范围等，大宗物资及机械租赁询价范围不少于3家，对线下询价情况予以收集整理汇总，整理情况主要包括报价单、营业执照复印件、法人身份证复印件等资料。</w:t>
      </w:r>
    </w:p>
    <w:p w14:paraId="325D57D2">
      <w:pPr>
        <w:rPr>
          <w:highlight w:val="none"/>
          <w:u w:val="none"/>
        </w:rPr>
      </w:pPr>
      <w:r>
        <w:rPr>
          <w:highlight w:val="none"/>
          <w:u w:val="none"/>
        </w:rPr>
        <w:t>（2）挖掘机租赁由报名供应商（或符合条件的自然人）按照项目建设内容现场核定挖掘机作业量，根据挖掘机作业量自行估算小时台班数，报价时一并报送估算数量及小时台班单价，综合考虑挖掘机时效，并以此作为本次询价比价的主要参考依据。</w:t>
      </w:r>
    </w:p>
    <w:p w14:paraId="5CEB027E">
      <w:pPr>
        <w:ind w:firstLine="653"/>
        <w:rPr>
          <w:b/>
          <w:bCs/>
          <w:highlight w:val="none"/>
          <w:u w:val="none"/>
        </w:rPr>
      </w:pPr>
      <w:r>
        <w:rPr>
          <w:b/>
          <w:bCs/>
          <w:highlight w:val="none"/>
          <w:u w:val="none"/>
        </w:rPr>
        <w:t>3.开展评比工作（召开询价比价会议）</w:t>
      </w:r>
    </w:p>
    <w:p w14:paraId="6D388336">
      <w:pPr>
        <w:rPr>
          <w:highlight w:val="none"/>
          <w:u w:val="none"/>
        </w:rPr>
      </w:pPr>
      <w:r>
        <w:rPr>
          <w:highlight w:val="none"/>
          <w:u w:val="none"/>
        </w:rPr>
        <w:t>询价比价公告期满后，“询比”工作组召开专题会议。会议现场拆封线上报价人员资料，结合线下询价情况，整理汇总梳理排序清单。</w:t>
      </w:r>
    </w:p>
    <w:p w14:paraId="2DEBD76E">
      <w:pPr>
        <w:rPr>
          <w:highlight w:val="none"/>
          <w:u w:val="none"/>
        </w:rPr>
      </w:pPr>
      <w:r>
        <w:rPr>
          <w:highlight w:val="none"/>
          <w:u w:val="none"/>
        </w:rPr>
        <w:t>在同等条件下，按照价格由低到高进行排序（如遇两家报价相同最低价格，采取现场抽签的方式或由村民代表表决确定排序）。经过梳理后的排序清单，作为拟提租购聘对象的重要参考依据。</w:t>
      </w:r>
    </w:p>
    <w:p w14:paraId="54989768">
      <w:pPr>
        <w:ind w:firstLine="653"/>
        <w:rPr>
          <w:b/>
          <w:bCs/>
          <w:highlight w:val="none"/>
          <w:u w:val="none"/>
        </w:rPr>
      </w:pPr>
      <w:r>
        <w:rPr>
          <w:b/>
          <w:bCs/>
          <w:highlight w:val="none"/>
          <w:u w:val="none"/>
        </w:rPr>
        <w:t>4.开展选定工作</w:t>
      </w:r>
    </w:p>
    <w:p w14:paraId="3664F281">
      <w:pPr>
        <w:rPr>
          <w:highlight w:val="none"/>
          <w:u w:val="none"/>
        </w:rPr>
      </w:pPr>
      <w:r>
        <w:rPr>
          <w:highlight w:val="none"/>
          <w:u w:val="none"/>
        </w:rPr>
        <w:t>县级项目负责人组织乡镇项目负责人、乡镇纪检负责人、村“两委”及村务监督委员会负责人、项目理事会全体成员召开“选定”工作专题会议，会议主要听取“询比”工作组汇报询比工作开展情况、审核排序清单，县级项目负责人依据租购聘排序清单，充分听取参会人员的意见建议，并结合当地工作实际和基层治理需要，研判提出租购聘建议对象及相关内容。</w:t>
      </w:r>
    </w:p>
    <w:p w14:paraId="1F887DC8">
      <w:pPr>
        <w:rPr>
          <w:highlight w:val="none"/>
          <w:u w:val="none"/>
        </w:rPr>
      </w:pPr>
      <w:r>
        <w:rPr>
          <w:highlight w:val="none"/>
          <w:u w:val="none"/>
        </w:rPr>
        <w:t>建议对象及相关内容提交村党支部（或村民委员会）会议审议，采用举手表决通过，并在乡镇政务公开栏、项目村务公开栏进行公示，公示时间不少于5个工作日。</w:t>
      </w:r>
    </w:p>
    <w:p w14:paraId="27E000BA">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（五）比价原则</w:t>
      </w:r>
    </w:p>
    <w:p w14:paraId="15098473">
      <w:pPr>
        <w:rPr>
          <w:highlight w:val="none"/>
          <w:u w:val="none"/>
        </w:rPr>
      </w:pPr>
      <w:r>
        <w:rPr>
          <w:highlight w:val="none"/>
          <w:u w:val="none"/>
        </w:rPr>
        <w:t>遵循公开、公平、公正的原则，对参与报价的单位（个人）的信息要严格保密，避免不公平竞争。</w:t>
      </w:r>
    </w:p>
    <w:p w14:paraId="150A6295">
      <w:pPr>
        <w:rPr>
          <w:highlight w:val="none"/>
          <w:u w:val="none"/>
        </w:rPr>
      </w:pPr>
      <w:r>
        <w:rPr>
          <w:highlight w:val="none"/>
          <w:u w:val="none"/>
        </w:rPr>
        <w:t>1.不单纯以价格取舍租购聘对象。充分考虑租购需求、价格、质量和服务等因素，结合有利于基层治理，确定租购对象。</w:t>
      </w:r>
    </w:p>
    <w:p w14:paraId="30DA3926">
      <w:pPr>
        <w:rPr>
          <w:highlight w:val="none"/>
          <w:u w:val="none"/>
        </w:rPr>
      </w:pPr>
      <w:r>
        <w:rPr>
          <w:highlight w:val="none"/>
          <w:u w:val="none"/>
        </w:rPr>
        <w:t>2.同等条件下的其他原则。</w:t>
      </w:r>
    </w:p>
    <w:p w14:paraId="4D720288">
      <w:pPr>
        <w:rPr>
          <w:highlight w:val="none"/>
          <w:u w:val="none"/>
        </w:rPr>
      </w:pPr>
      <w:r>
        <w:rPr>
          <w:highlight w:val="none"/>
          <w:u w:val="none"/>
        </w:rPr>
        <w:t>（1）机械的购买时间及新旧程度，即机械使用性能。</w:t>
      </w:r>
    </w:p>
    <w:p w14:paraId="0664542D">
      <w:pPr>
        <w:rPr>
          <w:highlight w:val="none"/>
          <w:u w:val="none"/>
        </w:rPr>
      </w:pPr>
      <w:r>
        <w:rPr>
          <w:highlight w:val="none"/>
          <w:u w:val="none"/>
        </w:rPr>
        <w:t>（2）挖掘机操作手能否看懂图纸、操作经验、技术等。</w:t>
      </w:r>
    </w:p>
    <w:p w14:paraId="14DED43B">
      <w:pPr>
        <w:pStyle w:val="3"/>
        <w:spacing w:line="600" w:lineRule="exact"/>
        <w:rPr>
          <w:rFonts w:ascii="Times New Roman" w:hAnsi="Times New Roman" w:eastAsia="楷体_GB2312"/>
          <w:b/>
          <w:highlight w:val="none"/>
          <w:u w:val="none"/>
        </w:rPr>
      </w:pPr>
      <w:r>
        <w:rPr>
          <w:rFonts w:ascii="Times New Roman" w:hAnsi="Times New Roman" w:eastAsia="楷体_GB2312"/>
          <w:b/>
          <w:highlight w:val="none"/>
          <w:u w:val="none"/>
        </w:rPr>
        <w:t>（六）询价比价结果运用</w:t>
      </w:r>
    </w:p>
    <w:p w14:paraId="42489626">
      <w:pPr>
        <w:rPr>
          <w:highlight w:val="none"/>
          <w:u w:val="none"/>
        </w:rPr>
      </w:pPr>
      <w:r>
        <w:rPr>
          <w:highlight w:val="none"/>
          <w:u w:val="none"/>
        </w:rPr>
        <w:t>确定采用的租购聘对象后，经公示无异议后，按照相关程序签订租购聘合同，所需要的租购聘数根据施工进度进行供应，收货方严把材料质量。</w:t>
      </w:r>
    </w:p>
    <w:p w14:paraId="0BFE045C">
      <w:pPr>
        <w:pStyle w:val="2"/>
        <w:keepNext w:val="0"/>
        <w:keepLines w:val="0"/>
        <w:rPr>
          <w:highlight w:val="none"/>
          <w:u w:val="none"/>
        </w:rPr>
      </w:pPr>
      <w:r>
        <w:rPr>
          <w:highlight w:val="none"/>
          <w:u w:val="none"/>
        </w:rPr>
        <w:t>五、其他事项</w:t>
      </w:r>
    </w:p>
    <w:p w14:paraId="38CF3528">
      <w:pPr>
        <w:rPr>
          <w:highlight w:val="none"/>
          <w:u w:val="none"/>
        </w:rPr>
      </w:pPr>
      <w:r>
        <w:rPr>
          <w:highlight w:val="none"/>
          <w:u w:val="none"/>
        </w:rPr>
        <w:t>（一）项目料场设置：原××村东南附近，料场紧邻项目现场，运输道路均为水泥硬化路面，通行道路宽度为3.5—4米。</w:t>
      </w:r>
    </w:p>
    <w:p w14:paraId="766EFFFC">
      <w:pPr>
        <w:spacing w:line="560" w:lineRule="exact"/>
        <w:rPr>
          <w:highlight w:val="none"/>
          <w:u w:val="none"/>
        </w:rPr>
      </w:pPr>
      <w:r>
        <w:rPr>
          <w:highlight w:val="none"/>
          <w:u w:val="none"/>
        </w:rPr>
        <w:t>（二）在询价比价过程中，遇到报价过程中出现恶意报价（明显低于当地市场价格30%以上）的情况，在召开村“两委”及项目理事会会议的时候，提出本次报价可能出现风险的情况，听取村“两委”委员及项目理事会的意见。根据磋商意见，由项目联合理事会电话通知该报价方，再次进行确定，如果在确定的基础上，报价方愿意在规定标准、质量、规格的情况下供货，可以告知该报价商根据供货预计数量比例。</w:t>
      </w:r>
    </w:p>
    <w:p w14:paraId="5640F5E4">
      <w:pPr>
        <w:spacing w:line="560" w:lineRule="exact"/>
        <w:rPr>
          <w:highlight w:val="none"/>
          <w:u w:val="none"/>
        </w:rPr>
      </w:pPr>
      <w:r>
        <w:rPr>
          <w:highlight w:val="none"/>
          <w:u w:val="none"/>
        </w:rPr>
        <w:t>（三）严格按照项目管理要求，落实三方签字责任制（送货方、收货方、库管员），按照每批次货查验质量合格证及材料检测报告。</w:t>
      </w:r>
    </w:p>
    <w:p w14:paraId="026F68C1">
      <w:pPr>
        <w:spacing w:line="560" w:lineRule="exact"/>
        <w:rPr>
          <w:highlight w:val="none"/>
          <w:u w:val="none"/>
        </w:rPr>
      </w:pPr>
      <w:r>
        <w:rPr>
          <w:highlight w:val="none"/>
          <w:u w:val="none"/>
        </w:rPr>
        <w:t>（四）砂石、块石及钢筋材料签订固定价合同，水泥因为不易保管的特殊性，不方便一次性采购堆放，实行签订不固定价（随行就市）合同，因遇到市场行情原因调价，供应商应在第一时间内将调价证明材料提交给采购方，如遇价格下调，供应商未向采购方告知，采购方将对供应商处以涉及货款金额的10倍罚款，且终止合同。在供货过程中，采购方如果发现供应商对合同约定的材料品牌更换调包的，采购方将对供应商处以涉及货款的5倍罚款，同时终止合同。遇到因道路封堵需绕行造成成本增加的情况，绕行距离费用可以参照交通运输造价定额组价计算或交通其他运输距离费用测算规定计算。</w:t>
      </w:r>
    </w:p>
    <w:p w14:paraId="6E770B76">
      <w:pPr>
        <w:spacing w:line="560" w:lineRule="exact"/>
        <w:rPr>
          <w:highlight w:val="none"/>
          <w:u w:val="none"/>
        </w:rPr>
      </w:pPr>
    </w:p>
    <w:p w14:paraId="2AB5EFE4">
      <w:pPr>
        <w:spacing w:line="560" w:lineRule="exact"/>
        <w:jc w:val="right"/>
        <w:rPr>
          <w:highlight w:val="none"/>
          <w:u w:val="none"/>
        </w:rPr>
      </w:pPr>
      <w:r>
        <w:rPr>
          <w:highlight w:val="none"/>
          <w:u w:val="none"/>
        </w:rPr>
        <w:t xml:space="preserve">××县××镇20××年以工代赈项目理事会   </w:t>
      </w:r>
    </w:p>
    <w:p w14:paraId="72588B6A">
      <w:pPr>
        <w:spacing w:line="560" w:lineRule="exact"/>
        <w:jc w:val="right"/>
        <w:rPr>
          <w:highlight w:val="none"/>
          <w:u w:val="none"/>
        </w:rPr>
      </w:pPr>
      <w:r>
        <w:rPr>
          <w:highlight w:val="none"/>
          <w:u w:val="none"/>
        </w:rPr>
        <w:t xml:space="preserve">（村民委员会代章）  </w:t>
      </w:r>
    </w:p>
    <w:p w14:paraId="76206A7D">
      <w:pPr>
        <w:spacing w:line="560" w:lineRule="exact"/>
        <w:jc w:val="right"/>
        <w:rPr>
          <w:highlight w:val="none"/>
          <w:u w:val="none"/>
        </w:rPr>
      </w:pPr>
      <w:r>
        <w:rPr>
          <w:highlight w:val="none"/>
          <w:u w:val="none"/>
        </w:rPr>
        <w:t>××年××月××日</w:t>
      </w:r>
      <w:r>
        <w:rPr>
          <w:highlight w:val="none"/>
          <w:u w:val="none"/>
        </w:rPr>
        <w:br w:type="page"/>
      </w:r>
    </w:p>
    <w:p w14:paraId="0FEC710B">
      <w:pPr>
        <w:pStyle w:val="16"/>
        <w:rPr>
          <w:rFonts w:ascii="Times New Roman" w:hAnsi="Times New Roman" w:cs="Times New Roman"/>
          <w:highlight w:val="none"/>
          <w:u w:val="none"/>
        </w:rPr>
      </w:pPr>
      <w:r>
        <w:rPr>
          <w:rFonts w:ascii="Times New Roman" w:hAnsi="Times New Roman" w:cs="Times New Roman"/>
          <w:highlight w:val="none"/>
          <w:u w:val="none"/>
        </w:rPr>
        <w:t>材料采购协议（模板）</w:t>
      </w:r>
    </w:p>
    <w:p w14:paraId="6BCA474D">
      <w:pPr>
        <w:rPr>
          <w:highlight w:val="none"/>
          <w:u w:val="none"/>
        </w:rPr>
      </w:pPr>
    </w:p>
    <w:p w14:paraId="01750E83">
      <w:pPr>
        <w:ind w:firstLine="0" w:firstLineChars="0"/>
        <w:rPr>
          <w:highlight w:val="none"/>
          <w:u w:val="none"/>
        </w:rPr>
      </w:pPr>
      <w:r>
        <w:rPr>
          <w:highlight w:val="none"/>
          <w:u w:val="none"/>
        </w:rPr>
        <w:t>甲方：××项目理事会</w:t>
      </w:r>
    </w:p>
    <w:p w14:paraId="2D56E53C">
      <w:pPr>
        <w:ind w:firstLine="0" w:firstLineChars="0"/>
        <w:rPr>
          <w:highlight w:val="none"/>
          <w:u w:val="none"/>
        </w:rPr>
      </w:pPr>
      <w:r>
        <w:rPr>
          <w:highlight w:val="none"/>
          <w:u w:val="none"/>
        </w:rPr>
        <w:t>乙方：××</w:t>
      </w:r>
    </w:p>
    <w:p w14:paraId="37C26F8F">
      <w:pPr>
        <w:rPr>
          <w:highlight w:val="none"/>
          <w:u w:val="none"/>
        </w:rPr>
      </w:pPr>
      <w:r>
        <w:rPr>
          <w:highlight w:val="none"/>
          <w:u w:val="none"/>
        </w:rPr>
        <w:t>根据《中华人民共和国民法典》及以工代赈项目管理有关规定，经项目理事会（以下简称甲方）通过询价及集体讨论决定，并报村“两委”和乡镇政府同意，甲乙双方本着平等、自愿、公平、诚信的原则，经协商一致，就材料采购及其相关事宜达成如下协议：</w:t>
      </w:r>
    </w:p>
    <w:p w14:paraId="40A50551">
      <w:pPr>
        <w:pStyle w:val="2"/>
        <w:keepNext w:val="0"/>
        <w:keepLines w:val="0"/>
        <w:rPr>
          <w:highlight w:val="none"/>
          <w:u w:val="none"/>
        </w:rPr>
      </w:pPr>
      <w:r>
        <w:rPr>
          <w:highlight w:val="none"/>
          <w:u w:val="none"/>
        </w:rPr>
        <w:t>一、工程建设地点</w:t>
      </w:r>
    </w:p>
    <w:p w14:paraId="11281894">
      <w:pPr>
        <w:rPr>
          <w:highlight w:val="none"/>
          <w:u w:val="none"/>
        </w:rPr>
      </w:pPr>
      <w:r>
        <w:rPr>
          <w:highlight w:val="none"/>
          <w:u w:val="none"/>
        </w:rPr>
        <w:t xml:space="preserve">                         </w:t>
      </w:r>
    </w:p>
    <w:p w14:paraId="63A92196">
      <w:pPr>
        <w:pStyle w:val="2"/>
        <w:keepNext w:val="0"/>
        <w:keepLines w:val="0"/>
        <w:rPr>
          <w:highlight w:val="none"/>
          <w:u w:val="none"/>
        </w:rPr>
      </w:pPr>
      <w:r>
        <w:rPr>
          <w:highlight w:val="none"/>
          <w:u w:val="none"/>
        </w:rPr>
        <w:t>二、建设工期</w:t>
      </w:r>
    </w:p>
    <w:p w14:paraId="6E8E8D7B">
      <w:pPr>
        <w:rPr>
          <w:highlight w:val="none"/>
          <w:u w:val="none"/>
        </w:rPr>
      </w:pPr>
      <w:r>
        <w:rPr>
          <w:highlight w:val="none"/>
          <w:u w:val="none"/>
        </w:rPr>
        <w:t xml:space="preserve">开工时间         ，计划完成时间          </w:t>
      </w:r>
    </w:p>
    <w:p w14:paraId="5D852ED9">
      <w:pPr>
        <w:pStyle w:val="2"/>
        <w:keepNext w:val="0"/>
        <w:keepLines w:val="0"/>
        <w:rPr>
          <w:highlight w:val="none"/>
          <w:u w:val="none"/>
        </w:rPr>
      </w:pPr>
      <w:r>
        <w:rPr>
          <w:highlight w:val="none"/>
          <w:u w:val="none"/>
        </w:rPr>
        <w:t>三、材料规格、单价</w:t>
      </w:r>
    </w:p>
    <w:p w14:paraId="15BB40E5">
      <w:pPr>
        <w:rPr>
          <w:highlight w:val="none"/>
          <w:u w:val="none"/>
        </w:rPr>
      </w:pPr>
      <w:r>
        <w:rPr>
          <w:highlight w:val="none"/>
          <w:u w:val="none"/>
        </w:rPr>
        <w:t>（一）水泥：水泥品牌及规格为××牌PO42.5R水泥，单价为××元／吨。</w:t>
      </w:r>
    </w:p>
    <w:p w14:paraId="0507EB38">
      <w:pPr>
        <w:rPr>
          <w:highlight w:val="none"/>
          <w:u w:val="none"/>
        </w:rPr>
      </w:pPr>
      <w:r>
        <w:rPr>
          <w:highlight w:val="none"/>
          <w:u w:val="none"/>
        </w:rPr>
        <w:t>（二）砂石：</w:t>
      </w:r>
    </w:p>
    <w:p w14:paraId="754D0BB5">
      <w:pPr>
        <w:rPr>
          <w:highlight w:val="none"/>
          <w:u w:val="none"/>
        </w:rPr>
      </w:pPr>
      <w:r>
        <w:rPr>
          <w:highlight w:val="none"/>
          <w:u w:val="none"/>
        </w:rPr>
        <w:t>（三）钢筋：</w:t>
      </w:r>
    </w:p>
    <w:p w14:paraId="046CA94D">
      <w:pPr>
        <w:pStyle w:val="2"/>
        <w:keepNext w:val="0"/>
        <w:keepLines w:val="0"/>
        <w:rPr>
          <w:highlight w:val="none"/>
          <w:u w:val="none"/>
        </w:rPr>
      </w:pPr>
      <w:r>
        <w:rPr>
          <w:highlight w:val="none"/>
          <w:u w:val="none"/>
        </w:rPr>
        <w:t>四、供货数量</w:t>
      </w:r>
    </w:p>
    <w:p w14:paraId="22CCEA73">
      <w:pPr>
        <w:rPr>
          <w:highlight w:val="none"/>
          <w:u w:val="none"/>
        </w:rPr>
      </w:pPr>
      <w:r>
        <w:rPr>
          <w:highlight w:val="none"/>
          <w:u w:val="none"/>
        </w:rPr>
        <w:t>按甲方实际验收数量为准。</w:t>
      </w:r>
    </w:p>
    <w:p w14:paraId="33788057">
      <w:pPr>
        <w:pStyle w:val="2"/>
        <w:keepNext w:val="0"/>
        <w:keepLines w:val="0"/>
        <w:rPr>
          <w:highlight w:val="none"/>
          <w:u w:val="none"/>
        </w:rPr>
      </w:pPr>
      <w:r>
        <w:rPr>
          <w:highlight w:val="none"/>
          <w:u w:val="none"/>
        </w:rPr>
        <w:t>五、付款进度及方式</w:t>
      </w:r>
    </w:p>
    <w:p w14:paraId="418465FA">
      <w:pPr>
        <w:rPr>
          <w:highlight w:val="none"/>
          <w:u w:val="none"/>
        </w:rPr>
      </w:pPr>
      <w:r>
        <w:rPr>
          <w:highlight w:val="none"/>
          <w:u w:val="none"/>
        </w:rPr>
        <w:t>按照实际验收数量，直接支付至乙方银行账号。乙方向甲方提供等额的增值税发票，乙方开户行：××，户名××，银行账号××。</w:t>
      </w:r>
    </w:p>
    <w:p w14:paraId="0CA22B39">
      <w:pPr>
        <w:pStyle w:val="2"/>
        <w:keepNext w:val="0"/>
        <w:keepLines w:val="0"/>
        <w:rPr>
          <w:highlight w:val="none"/>
          <w:u w:val="none"/>
        </w:rPr>
      </w:pPr>
      <w:r>
        <w:rPr>
          <w:highlight w:val="none"/>
          <w:u w:val="none"/>
        </w:rPr>
        <w:t>六、各方权利和义务</w:t>
      </w:r>
    </w:p>
    <w:p w14:paraId="3BAE9DC7">
      <w:pPr>
        <w:rPr>
          <w:highlight w:val="none"/>
          <w:u w:val="none"/>
        </w:rPr>
      </w:pPr>
      <w:r>
        <w:rPr>
          <w:highlight w:val="none"/>
          <w:u w:val="none"/>
        </w:rPr>
        <w:t>（一）甲方根据工程建设要求，对材料数量、质量等进行验收，每批次材料需要提供产品合格证。</w:t>
      </w:r>
    </w:p>
    <w:p w14:paraId="7EC57E4E">
      <w:pPr>
        <w:rPr>
          <w:highlight w:val="none"/>
          <w:u w:val="none"/>
        </w:rPr>
      </w:pPr>
      <w:r>
        <w:rPr>
          <w:highlight w:val="none"/>
          <w:u w:val="none"/>
        </w:rPr>
        <w:t>（二）乙方负责按照甲方项目建设需求准时足量供应材料，保证所供材料质量达到国家、行业主管部门规定的标准及要求。乙方若因不按项目建设所需材料标准和要求供料，导致项目建设质量不合格或工期延后，造成的经济损失由乙方据实赔偿。乙方须严格按合同（协议）约定价格供货，不得以市场价格波动调整供货价格。</w:t>
      </w:r>
    </w:p>
    <w:p w14:paraId="4289E3D2">
      <w:pPr>
        <w:pStyle w:val="2"/>
        <w:keepNext w:val="0"/>
        <w:keepLines w:val="0"/>
        <w:rPr>
          <w:highlight w:val="none"/>
          <w:u w:val="none"/>
        </w:rPr>
      </w:pPr>
      <w:r>
        <w:rPr>
          <w:highlight w:val="none"/>
          <w:u w:val="none"/>
        </w:rPr>
        <w:t>七、违约责任</w:t>
      </w:r>
    </w:p>
    <w:p w14:paraId="150CFD9B">
      <w:pPr>
        <w:rPr>
          <w:highlight w:val="none"/>
          <w:u w:val="none"/>
        </w:rPr>
      </w:pPr>
      <w:r>
        <w:rPr>
          <w:highlight w:val="none"/>
          <w:u w:val="none"/>
        </w:rPr>
        <w:t>甲、乙双方须严格履行合同约定的各项义务，若发生违约行为，双方均有权向项目所在地人民法院起诉，赔偿相应损失并接受处罚。</w:t>
      </w:r>
    </w:p>
    <w:p w14:paraId="4C9157F0">
      <w:pPr>
        <w:pStyle w:val="2"/>
        <w:keepNext w:val="0"/>
        <w:keepLines w:val="0"/>
        <w:rPr>
          <w:highlight w:val="none"/>
          <w:u w:val="none"/>
        </w:rPr>
      </w:pPr>
      <w:r>
        <w:rPr>
          <w:highlight w:val="none"/>
          <w:u w:val="none"/>
        </w:rPr>
        <w:t>八、其他</w:t>
      </w:r>
    </w:p>
    <w:p w14:paraId="311D41E2">
      <w:pPr>
        <w:rPr>
          <w:highlight w:val="none"/>
          <w:u w:val="none"/>
        </w:rPr>
      </w:pPr>
      <w:r>
        <w:rPr>
          <w:highlight w:val="none"/>
          <w:u w:val="none"/>
        </w:rPr>
        <w:t>本协议一式三份，甲乙双方和村民委员会各持一份，签字盖章后生效。</w:t>
      </w:r>
    </w:p>
    <w:p w14:paraId="0E17C26A">
      <w:pPr>
        <w:rPr>
          <w:highlight w:val="none"/>
          <w:u w:val="none"/>
        </w:rPr>
      </w:pPr>
    </w:p>
    <w:p w14:paraId="7ED88798">
      <w:pPr>
        <w:rPr>
          <w:highlight w:val="none"/>
          <w:u w:val="none"/>
        </w:rPr>
      </w:pPr>
    </w:p>
    <w:p w14:paraId="0DAA0420">
      <w:pPr>
        <w:rPr>
          <w:highlight w:val="none"/>
          <w:u w:val="none"/>
        </w:rPr>
      </w:pPr>
    </w:p>
    <w:p w14:paraId="5355677B">
      <w:pPr>
        <w:rPr>
          <w:highlight w:val="none"/>
          <w:u w:val="none"/>
        </w:rPr>
      </w:pPr>
      <w:r>
        <w:rPr>
          <w:highlight w:val="none"/>
          <w:u w:val="none"/>
        </w:rPr>
        <w:t>甲方（村民委员会代章）：</w:t>
      </w:r>
      <w:r>
        <w:rPr>
          <w:highlight w:val="none"/>
          <w:u w:val="none"/>
        </w:rPr>
        <w:tab/>
      </w:r>
      <w:r>
        <w:rPr>
          <w:highlight w:val="none"/>
          <w:u w:val="none"/>
        </w:rPr>
        <w:t xml:space="preserve">    乙方（盖章）：</w:t>
      </w:r>
    </w:p>
    <w:p w14:paraId="4697EEBE">
      <w:pPr>
        <w:rPr>
          <w:highlight w:val="none"/>
          <w:u w:val="none"/>
        </w:rPr>
      </w:pPr>
    </w:p>
    <w:p w14:paraId="79201974">
      <w:pPr>
        <w:rPr>
          <w:highlight w:val="none"/>
          <w:u w:val="none"/>
        </w:rPr>
      </w:pPr>
    </w:p>
    <w:p w14:paraId="68F61CF9">
      <w:pPr>
        <w:rPr>
          <w:highlight w:val="none"/>
          <w:u w:val="none"/>
        </w:rPr>
      </w:pPr>
      <w:r>
        <w:rPr>
          <w:highlight w:val="none"/>
          <w:u w:val="none"/>
        </w:rPr>
        <w:t xml:space="preserve">理事长签字：               </w:t>
      </w:r>
      <w:r>
        <w:rPr>
          <w:highlight w:val="none"/>
          <w:u w:val="none"/>
        </w:rPr>
        <w:tab/>
      </w:r>
      <w:r>
        <w:rPr>
          <w:highlight w:val="none"/>
          <w:u w:val="none"/>
        </w:rPr>
        <w:t xml:space="preserve">  负责人签字：</w:t>
      </w:r>
    </w:p>
    <w:p w14:paraId="44FC77FF">
      <w:pPr>
        <w:ind w:right="1760"/>
        <w:jc w:val="right"/>
        <w:rPr>
          <w:highlight w:val="none"/>
          <w:u w:val="none"/>
        </w:rPr>
      </w:pPr>
      <w:r>
        <w:rPr>
          <w:highlight w:val="none"/>
          <w:u w:val="none"/>
        </w:rPr>
        <w:t>年   月   日</w:t>
      </w:r>
    </w:p>
    <w:p w14:paraId="6AF496CE">
      <w:pPr>
        <w:spacing w:line="240" w:lineRule="auto"/>
        <w:ind w:firstLine="0" w:firstLineChars="0"/>
        <w:jc w:val="left"/>
        <w:rPr>
          <w:highlight w:val="none"/>
          <w:u w:val="none"/>
        </w:rPr>
      </w:pPr>
      <w:r>
        <w:rPr>
          <w:highlight w:val="none"/>
          <w:u w:val="none"/>
        </w:rPr>
        <w:br w:type="page"/>
      </w:r>
    </w:p>
    <w:p w14:paraId="0FAB09C5">
      <w:pPr>
        <w:pStyle w:val="16"/>
        <w:rPr>
          <w:rFonts w:ascii="Times New Roman" w:hAnsi="Times New Roman" w:cs="Times New Roman"/>
          <w:highlight w:val="none"/>
          <w:u w:val="none"/>
        </w:rPr>
      </w:pPr>
      <w:r>
        <w:rPr>
          <w:rFonts w:ascii="Times New Roman" w:hAnsi="Times New Roman" w:cs="Times New Roman"/>
          <w:highlight w:val="none"/>
          <w:u w:val="none"/>
        </w:rPr>
        <w:t>机械租赁协议（模板）</w:t>
      </w:r>
    </w:p>
    <w:p w14:paraId="4F87C4E4">
      <w:pPr>
        <w:rPr>
          <w:highlight w:val="none"/>
          <w:u w:val="none"/>
        </w:rPr>
      </w:pPr>
    </w:p>
    <w:p w14:paraId="25B91DC6">
      <w:pPr>
        <w:ind w:firstLine="0" w:firstLineChars="0"/>
        <w:rPr>
          <w:highlight w:val="none"/>
          <w:u w:val="none"/>
        </w:rPr>
      </w:pPr>
      <w:r>
        <w:rPr>
          <w:highlight w:val="none"/>
          <w:u w:val="none"/>
        </w:rPr>
        <w:t>甲方：××项目理事会</w:t>
      </w:r>
    </w:p>
    <w:p w14:paraId="7DB2BBC7">
      <w:pPr>
        <w:ind w:firstLine="0" w:firstLineChars="0"/>
        <w:rPr>
          <w:highlight w:val="none"/>
          <w:u w:val="none"/>
        </w:rPr>
      </w:pPr>
      <w:r>
        <w:rPr>
          <w:highlight w:val="none"/>
          <w:u w:val="none"/>
        </w:rPr>
        <w:t>乙方：××</w:t>
      </w:r>
    </w:p>
    <w:p w14:paraId="497218E1">
      <w:pPr>
        <w:rPr>
          <w:highlight w:val="none"/>
          <w:u w:val="none"/>
        </w:rPr>
      </w:pPr>
      <w:r>
        <w:rPr>
          <w:highlight w:val="none"/>
          <w:u w:val="none"/>
        </w:rPr>
        <w:t>根据《中华人民共和国民法典》及以工代赈项目管理有关规定，经项目理事会（以下简称甲方）通过询价及集体讨论决定，并报村“两委”和乡镇政府同意，甲乙双方本着平等、自愿、公平、诚信的原则，经协商一致，就机械租赁及其相关事宜达成如下协议：</w:t>
      </w:r>
    </w:p>
    <w:p w14:paraId="7DD696F3">
      <w:pPr>
        <w:pStyle w:val="2"/>
        <w:keepNext w:val="0"/>
        <w:keepLines w:val="0"/>
        <w:rPr>
          <w:highlight w:val="none"/>
          <w:u w:val="none"/>
        </w:rPr>
      </w:pPr>
      <w:r>
        <w:rPr>
          <w:highlight w:val="none"/>
          <w:u w:val="none"/>
        </w:rPr>
        <w:t>一、工程建设地点</w:t>
      </w:r>
    </w:p>
    <w:p w14:paraId="2193D90D">
      <w:pPr>
        <w:rPr>
          <w:highlight w:val="none"/>
          <w:u w:val="none"/>
        </w:rPr>
      </w:pPr>
      <w:r>
        <w:rPr>
          <w:highlight w:val="none"/>
          <w:u w:val="none"/>
        </w:rPr>
        <w:t xml:space="preserve">                     </w:t>
      </w:r>
    </w:p>
    <w:p w14:paraId="347CDDBA">
      <w:pPr>
        <w:pStyle w:val="2"/>
        <w:keepNext w:val="0"/>
        <w:keepLines w:val="0"/>
        <w:rPr>
          <w:highlight w:val="none"/>
          <w:u w:val="none"/>
        </w:rPr>
      </w:pPr>
      <w:r>
        <w:rPr>
          <w:highlight w:val="none"/>
          <w:u w:val="none"/>
        </w:rPr>
        <w:t>二、建设工期</w:t>
      </w:r>
    </w:p>
    <w:p w14:paraId="13BC3ACE">
      <w:pPr>
        <w:rPr>
          <w:highlight w:val="none"/>
          <w:u w:val="none"/>
        </w:rPr>
      </w:pPr>
      <w:r>
        <w:rPr>
          <w:highlight w:val="none"/>
          <w:u w:val="none"/>
        </w:rPr>
        <w:t xml:space="preserve">开工时间         ，计划完成时间        </w:t>
      </w:r>
    </w:p>
    <w:p w14:paraId="3CD572FF">
      <w:pPr>
        <w:pStyle w:val="2"/>
        <w:keepNext w:val="0"/>
        <w:keepLines w:val="0"/>
        <w:rPr>
          <w:highlight w:val="none"/>
          <w:u w:val="none"/>
        </w:rPr>
      </w:pPr>
      <w:r>
        <w:rPr>
          <w:highlight w:val="none"/>
          <w:u w:val="none"/>
        </w:rPr>
        <w:t>三、机械种类型号、单价</w:t>
      </w:r>
    </w:p>
    <w:p w14:paraId="4E95E186">
      <w:pPr>
        <w:rPr>
          <w:highlight w:val="none"/>
          <w:u w:val="none"/>
        </w:rPr>
      </w:pPr>
      <w:r>
        <w:rPr>
          <w:highlight w:val="none"/>
          <w:u w:val="none"/>
        </w:rPr>
        <w:t>（一）道路混凝土全套设备：××元/方（含燃油、维修、税等）。</w:t>
      </w:r>
    </w:p>
    <w:p w14:paraId="5C7222C1">
      <w:pPr>
        <w:rPr>
          <w:highlight w:val="none"/>
          <w:u w:val="none"/>
        </w:rPr>
      </w:pPr>
      <w:r>
        <w:rPr>
          <w:highlight w:val="none"/>
          <w:u w:val="none"/>
        </w:rPr>
        <w:t>（二）××cm*××cm渠系全套设备：××元/米（含燃油、维修、税等）。</w:t>
      </w:r>
    </w:p>
    <w:p w14:paraId="26546EA3">
      <w:pPr>
        <w:rPr>
          <w:highlight w:val="none"/>
          <w:u w:val="none"/>
        </w:rPr>
      </w:pPr>
      <w:r>
        <w:rPr>
          <w:highlight w:val="none"/>
          <w:u w:val="none"/>
        </w:rPr>
        <w:t>（三）山坪塘混凝土设备：××元/方（含燃油、维修、税等）。</w:t>
      </w:r>
    </w:p>
    <w:p w14:paraId="3E6F5803">
      <w:pPr>
        <w:rPr>
          <w:highlight w:val="none"/>
          <w:u w:val="none"/>
        </w:rPr>
      </w:pPr>
      <w:r>
        <w:rPr>
          <w:highlight w:val="none"/>
          <w:u w:val="none"/>
        </w:rPr>
        <w:t>（四）××型号挖掘机：××元/小时（含燃油、维修、税等）。</w:t>
      </w:r>
    </w:p>
    <w:p w14:paraId="7B2755C1">
      <w:pPr>
        <w:pStyle w:val="2"/>
        <w:keepNext w:val="0"/>
        <w:keepLines w:val="0"/>
        <w:rPr>
          <w:highlight w:val="none"/>
          <w:u w:val="none"/>
        </w:rPr>
      </w:pPr>
      <w:r>
        <w:rPr>
          <w:highlight w:val="none"/>
          <w:u w:val="none"/>
        </w:rPr>
        <w:t>四、租用数量</w:t>
      </w:r>
    </w:p>
    <w:p w14:paraId="33CFD61E">
      <w:pPr>
        <w:rPr>
          <w:highlight w:val="none"/>
          <w:u w:val="none"/>
        </w:rPr>
      </w:pPr>
      <w:r>
        <w:rPr>
          <w:highlight w:val="none"/>
          <w:u w:val="none"/>
        </w:rPr>
        <w:t>道路混凝土全套设备××套（台）、××cm*××cm渠系全套设备××套（台）、山坪塘混凝土设备××套（台）、××型号挖掘机××套（台）。</w:t>
      </w:r>
    </w:p>
    <w:p w14:paraId="01FCE7B6">
      <w:pPr>
        <w:pStyle w:val="2"/>
        <w:keepNext w:val="0"/>
        <w:keepLines w:val="0"/>
        <w:rPr>
          <w:highlight w:val="none"/>
          <w:u w:val="none"/>
        </w:rPr>
      </w:pPr>
      <w:r>
        <w:rPr>
          <w:highlight w:val="none"/>
          <w:u w:val="none"/>
        </w:rPr>
        <w:t>五、付款进度及方式</w:t>
      </w:r>
    </w:p>
    <w:p w14:paraId="2B74AFE1">
      <w:pPr>
        <w:rPr>
          <w:highlight w:val="none"/>
          <w:u w:val="none"/>
        </w:rPr>
      </w:pPr>
      <w:r>
        <w:rPr>
          <w:highlight w:val="none"/>
          <w:u w:val="none"/>
        </w:rPr>
        <w:t>设备租赁费用在项目结算后，按照实际验收数量，直接支付至乙方银行账号。乙方向甲方提供等额的增值税发票。乙方开户行：××，户名××，银行账号××。</w:t>
      </w:r>
    </w:p>
    <w:p w14:paraId="50AAC628">
      <w:pPr>
        <w:pStyle w:val="3"/>
        <w:rPr>
          <w:rFonts w:ascii="Times New Roman" w:hAnsi="Times New Roman" w:eastAsia="楷体_GB2312"/>
          <w:b/>
          <w:highlight w:val="none"/>
          <w:u w:val="none"/>
        </w:rPr>
      </w:pPr>
      <w:r>
        <w:rPr>
          <w:rFonts w:ascii="Times New Roman" w:hAnsi="Times New Roman" w:eastAsia="楷体_GB2312"/>
          <w:b/>
          <w:highlight w:val="none"/>
          <w:u w:val="none"/>
        </w:rPr>
        <w:t>六、各方权利和义务</w:t>
      </w:r>
    </w:p>
    <w:p w14:paraId="2B270BBE">
      <w:pPr>
        <w:rPr>
          <w:highlight w:val="none"/>
          <w:u w:val="none"/>
        </w:rPr>
      </w:pPr>
      <w:r>
        <w:rPr>
          <w:highlight w:val="none"/>
          <w:u w:val="none"/>
        </w:rPr>
        <w:t>（一）甲方根据工程建设要求，监督工程施工，督查工程进度，协调施工环境。</w:t>
      </w:r>
    </w:p>
    <w:p w14:paraId="23AE15D6">
      <w:pPr>
        <w:rPr>
          <w:highlight w:val="none"/>
          <w:u w:val="none"/>
        </w:rPr>
      </w:pPr>
      <w:r>
        <w:rPr>
          <w:highlight w:val="none"/>
          <w:u w:val="none"/>
        </w:rPr>
        <w:t>（二）乙方按照甲方提供的实施方案施工，完成工程量，达到工程建设质量，安全文明施工，承担安全责任。乙方若因未达到工程建设质量，造成的经济损失由乙方据实赔偿。</w:t>
      </w:r>
    </w:p>
    <w:p w14:paraId="23EE39FC">
      <w:pPr>
        <w:pStyle w:val="2"/>
        <w:keepNext w:val="0"/>
        <w:keepLines w:val="0"/>
        <w:rPr>
          <w:highlight w:val="none"/>
          <w:u w:val="none"/>
        </w:rPr>
      </w:pPr>
      <w:r>
        <w:rPr>
          <w:highlight w:val="none"/>
          <w:u w:val="none"/>
        </w:rPr>
        <w:t>七、违约责任</w:t>
      </w:r>
    </w:p>
    <w:p w14:paraId="30A4300A">
      <w:pPr>
        <w:rPr>
          <w:highlight w:val="none"/>
          <w:u w:val="none"/>
        </w:rPr>
      </w:pPr>
      <w:r>
        <w:rPr>
          <w:highlight w:val="none"/>
          <w:u w:val="none"/>
        </w:rPr>
        <w:t>甲、乙双方须严格履行合同约定的各项义务，若发生违约行为，双方均有权向项目所在地人民法院起诉，赔偿相应损失并接受处罚。</w:t>
      </w:r>
    </w:p>
    <w:p w14:paraId="226267B5">
      <w:pPr>
        <w:pStyle w:val="2"/>
        <w:keepNext w:val="0"/>
        <w:keepLines w:val="0"/>
        <w:rPr>
          <w:highlight w:val="none"/>
          <w:u w:val="none"/>
        </w:rPr>
      </w:pPr>
      <w:r>
        <w:rPr>
          <w:highlight w:val="none"/>
          <w:u w:val="none"/>
        </w:rPr>
        <w:t>八、其他</w:t>
      </w:r>
    </w:p>
    <w:p w14:paraId="4D149B86">
      <w:pPr>
        <w:rPr>
          <w:highlight w:val="none"/>
          <w:u w:val="none"/>
        </w:rPr>
      </w:pPr>
      <w:r>
        <w:rPr>
          <w:highlight w:val="none"/>
          <w:u w:val="none"/>
        </w:rPr>
        <w:t>本协议一式三份，甲乙双方和村民委员会各持一份，签字盖章后生效。</w:t>
      </w:r>
    </w:p>
    <w:p w14:paraId="24515CEA">
      <w:pPr>
        <w:rPr>
          <w:highlight w:val="none"/>
          <w:u w:val="none"/>
        </w:rPr>
      </w:pPr>
    </w:p>
    <w:p w14:paraId="09F5BB58">
      <w:pPr>
        <w:rPr>
          <w:highlight w:val="none"/>
          <w:u w:val="none"/>
        </w:rPr>
      </w:pPr>
      <w:r>
        <w:rPr>
          <w:highlight w:val="none"/>
          <w:u w:val="none"/>
        </w:rPr>
        <w:t>甲方（村民委员会代章）：</w:t>
      </w:r>
      <w:r>
        <w:rPr>
          <w:highlight w:val="none"/>
          <w:u w:val="none"/>
        </w:rPr>
        <w:tab/>
      </w:r>
      <w:r>
        <w:rPr>
          <w:highlight w:val="none"/>
          <w:u w:val="none"/>
        </w:rPr>
        <w:t xml:space="preserve">     乙方（盖章）：</w:t>
      </w:r>
    </w:p>
    <w:p w14:paraId="54555B3B">
      <w:pPr>
        <w:rPr>
          <w:highlight w:val="none"/>
          <w:u w:val="none"/>
        </w:rPr>
      </w:pPr>
    </w:p>
    <w:p w14:paraId="00AA0BB6">
      <w:pPr>
        <w:rPr>
          <w:highlight w:val="none"/>
          <w:u w:val="none"/>
        </w:rPr>
      </w:pPr>
    </w:p>
    <w:p w14:paraId="19AE1168">
      <w:pPr>
        <w:rPr>
          <w:highlight w:val="none"/>
          <w:u w:val="none"/>
        </w:rPr>
      </w:pPr>
      <w:r>
        <w:rPr>
          <w:highlight w:val="none"/>
          <w:u w:val="none"/>
        </w:rPr>
        <w:t xml:space="preserve">理事长签字：               </w:t>
      </w:r>
      <w:r>
        <w:rPr>
          <w:highlight w:val="none"/>
          <w:u w:val="none"/>
        </w:rPr>
        <w:tab/>
      </w:r>
      <w:r>
        <w:rPr>
          <w:highlight w:val="none"/>
          <w:u w:val="none"/>
        </w:rPr>
        <w:t xml:space="preserve">  负责人签字：</w:t>
      </w:r>
    </w:p>
    <w:p w14:paraId="3F4599A9">
      <w:pPr>
        <w:ind w:right="1760"/>
        <w:jc w:val="right"/>
        <w:rPr>
          <w:highlight w:val="none"/>
          <w:u w:val="none"/>
        </w:rPr>
      </w:pPr>
      <w:r>
        <w:rPr>
          <w:highlight w:val="none"/>
          <w:u w:val="none"/>
        </w:rPr>
        <w:t>年   月   日</w:t>
      </w:r>
    </w:p>
    <w:p w14:paraId="48F42EDC">
      <w:pPr>
        <w:spacing w:line="240" w:lineRule="auto"/>
        <w:ind w:firstLine="0" w:firstLineChars="0"/>
        <w:jc w:val="left"/>
        <w:rPr>
          <w:highlight w:val="none"/>
          <w:u w:val="none"/>
        </w:rPr>
      </w:pPr>
      <w:r>
        <w:rPr>
          <w:highlight w:val="none"/>
          <w:u w:val="none"/>
        </w:rPr>
        <w:br w:type="page"/>
      </w:r>
    </w:p>
    <w:p w14:paraId="53182E21">
      <w:pPr>
        <w:pStyle w:val="16"/>
        <w:rPr>
          <w:rFonts w:ascii="Times New Roman" w:hAnsi="Times New Roman" w:cs="Times New Roman"/>
          <w:highlight w:val="none"/>
          <w:u w:val="none"/>
        </w:rPr>
      </w:pPr>
      <w:r>
        <w:rPr>
          <w:rFonts w:ascii="Times New Roman" w:hAnsi="Times New Roman" w:cs="Times New Roman"/>
          <w:highlight w:val="none"/>
          <w:u w:val="none"/>
        </w:rPr>
        <w:t>聘请技术员协议（模板）</w:t>
      </w:r>
    </w:p>
    <w:p w14:paraId="5B8DF6D9">
      <w:pPr>
        <w:rPr>
          <w:highlight w:val="none"/>
          <w:u w:val="none"/>
        </w:rPr>
      </w:pPr>
    </w:p>
    <w:p w14:paraId="29AA8E1E">
      <w:pPr>
        <w:ind w:firstLine="0" w:firstLineChars="0"/>
        <w:rPr>
          <w:highlight w:val="none"/>
          <w:u w:val="none"/>
        </w:rPr>
      </w:pPr>
      <w:r>
        <w:rPr>
          <w:highlight w:val="none"/>
          <w:u w:val="none"/>
        </w:rPr>
        <w:t>甲方：××项目理事会</w:t>
      </w:r>
    </w:p>
    <w:p w14:paraId="49AF6239">
      <w:pPr>
        <w:ind w:firstLine="0" w:firstLineChars="0"/>
        <w:rPr>
          <w:highlight w:val="none"/>
          <w:u w:val="none"/>
        </w:rPr>
      </w:pPr>
      <w:r>
        <w:rPr>
          <w:highlight w:val="none"/>
          <w:u w:val="none"/>
        </w:rPr>
        <w:t>乙方：××</w:t>
      </w:r>
    </w:p>
    <w:p w14:paraId="1A73C828">
      <w:pPr>
        <w:rPr>
          <w:highlight w:val="none"/>
          <w:u w:val="none"/>
        </w:rPr>
      </w:pPr>
      <w:r>
        <w:rPr>
          <w:highlight w:val="none"/>
          <w:u w:val="none"/>
        </w:rPr>
        <w:t>根据《中华人民共和国民法典》及以工代赈项目管理有关规定，经项目理事会（以下简称甲方）通过询价及集体讨论决定，并报村“两委”和乡镇政府同意，甲乙双方本着平等、自愿、公平、诚信的原则，经协商一致，就聘用技术人员及其相关事宜达成如下协议：</w:t>
      </w:r>
    </w:p>
    <w:p w14:paraId="3B8858CE">
      <w:pPr>
        <w:pStyle w:val="2"/>
        <w:keepNext w:val="0"/>
        <w:keepLines w:val="0"/>
        <w:rPr>
          <w:highlight w:val="none"/>
          <w:u w:val="none"/>
        </w:rPr>
      </w:pPr>
      <w:r>
        <w:rPr>
          <w:highlight w:val="none"/>
          <w:u w:val="none"/>
        </w:rPr>
        <w:t>一、工程建设地点</w:t>
      </w:r>
    </w:p>
    <w:p w14:paraId="1093F646">
      <w:pPr>
        <w:rPr>
          <w:highlight w:val="none"/>
          <w:u w:val="none"/>
        </w:rPr>
      </w:pPr>
      <w:r>
        <w:rPr>
          <w:highlight w:val="none"/>
          <w:u w:val="none"/>
        </w:rPr>
        <w:t xml:space="preserve">                     </w:t>
      </w:r>
    </w:p>
    <w:p w14:paraId="04D16040">
      <w:pPr>
        <w:pStyle w:val="2"/>
        <w:keepNext w:val="0"/>
        <w:keepLines w:val="0"/>
        <w:rPr>
          <w:highlight w:val="none"/>
          <w:u w:val="none"/>
        </w:rPr>
      </w:pPr>
      <w:r>
        <w:rPr>
          <w:highlight w:val="none"/>
          <w:u w:val="none"/>
        </w:rPr>
        <w:t>二、建设工期</w:t>
      </w:r>
    </w:p>
    <w:p w14:paraId="55315B1D">
      <w:pPr>
        <w:rPr>
          <w:highlight w:val="none"/>
          <w:u w:val="none"/>
        </w:rPr>
      </w:pPr>
      <w:r>
        <w:rPr>
          <w:highlight w:val="none"/>
          <w:u w:val="none"/>
        </w:rPr>
        <w:t xml:space="preserve">开工时间         ，计划完成时间        </w:t>
      </w:r>
    </w:p>
    <w:p w14:paraId="54E4225E">
      <w:pPr>
        <w:pStyle w:val="2"/>
        <w:keepNext w:val="0"/>
        <w:keepLines w:val="0"/>
        <w:rPr>
          <w:highlight w:val="none"/>
          <w:u w:val="none"/>
        </w:rPr>
      </w:pPr>
      <w:r>
        <w:rPr>
          <w:highlight w:val="none"/>
          <w:u w:val="none"/>
        </w:rPr>
        <w:t>三、技术员报酬</w:t>
      </w:r>
    </w:p>
    <w:p w14:paraId="1CDA4C39">
      <w:pPr>
        <w:rPr>
          <w:highlight w:val="none"/>
          <w:u w:val="none"/>
        </w:rPr>
      </w:pPr>
      <w:r>
        <w:rPr>
          <w:highlight w:val="none"/>
          <w:u w:val="none"/>
        </w:rPr>
        <w:t>按施工方案预算，并经甲乙双方商定，待项目验收合格报账后，支付技术员工资      元。乙方开户行：××，户名××，银行账号××。</w:t>
      </w:r>
    </w:p>
    <w:p w14:paraId="1E7EBEC8">
      <w:pPr>
        <w:pStyle w:val="2"/>
        <w:keepNext w:val="0"/>
        <w:keepLines w:val="0"/>
        <w:rPr>
          <w:highlight w:val="none"/>
          <w:u w:val="none"/>
        </w:rPr>
      </w:pPr>
      <w:r>
        <w:rPr>
          <w:highlight w:val="none"/>
          <w:u w:val="none"/>
        </w:rPr>
        <w:t>四、各方权利和义务</w:t>
      </w:r>
    </w:p>
    <w:p w14:paraId="027104AC">
      <w:pPr>
        <w:rPr>
          <w:highlight w:val="none"/>
          <w:u w:val="none"/>
        </w:rPr>
      </w:pPr>
      <w:r>
        <w:rPr>
          <w:highlight w:val="none"/>
          <w:u w:val="none"/>
        </w:rPr>
        <w:t>（一）甲方负责组织务工人员实施施工建设，保障机械租赁、材料采购，协调施工环境和提供必要的施工设备，并做好施工安全防范，确保施工安全。</w:t>
      </w:r>
    </w:p>
    <w:p w14:paraId="2DE7922F">
      <w:pPr>
        <w:rPr>
          <w:highlight w:val="none"/>
          <w:u w:val="none"/>
        </w:rPr>
      </w:pPr>
      <w:r>
        <w:rPr>
          <w:highlight w:val="none"/>
          <w:u w:val="none"/>
        </w:rPr>
        <w:t>（二）乙方按实施方案设计要求指导施工，对关键部位跟费作业，验收工程材料，确保施工工艺到位、科学，质量合格，顺利通过验收。</w:t>
      </w:r>
    </w:p>
    <w:p w14:paraId="1A00C3C5">
      <w:pPr>
        <w:pStyle w:val="2"/>
        <w:keepNext w:val="0"/>
        <w:keepLines w:val="0"/>
        <w:rPr>
          <w:highlight w:val="none"/>
          <w:u w:val="none"/>
        </w:rPr>
      </w:pPr>
      <w:r>
        <w:rPr>
          <w:highlight w:val="none"/>
          <w:u w:val="none"/>
        </w:rPr>
        <w:t>五、违约责任</w:t>
      </w:r>
    </w:p>
    <w:p w14:paraId="7A202B4B">
      <w:pPr>
        <w:rPr>
          <w:highlight w:val="none"/>
          <w:u w:val="none"/>
        </w:rPr>
      </w:pPr>
      <w:r>
        <w:rPr>
          <w:highlight w:val="none"/>
          <w:u w:val="none"/>
        </w:rPr>
        <w:t>甲、乙双方须严格履行合同约定的各项义务，若发生违约行为，双方均有权向项目所在地人民法院起诉，赔偿相应损失并接受处罚。</w:t>
      </w:r>
    </w:p>
    <w:p w14:paraId="1B0CA0ED">
      <w:pPr>
        <w:pStyle w:val="2"/>
        <w:keepNext w:val="0"/>
        <w:keepLines w:val="0"/>
        <w:rPr>
          <w:highlight w:val="none"/>
          <w:u w:val="none"/>
        </w:rPr>
      </w:pPr>
      <w:r>
        <w:rPr>
          <w:highlight w:val="none"/>
          <w:u w:val="none"/>
        </w:rPr>
        <w:t>六、其他</w:t>
      </w:r>
    </w:p>
    <w:p w14:paraId="0F7B212B">
      <w:pPr>
        <w:rPr>
          <w:highlight w:val="none"/>
          <w:u w:val="none"/>
        </w:rPr>
      </w:pPr>
      <w:r>
        <w:rPr>
          <w:highlight w:val="none"/>
          <w:u w:val="none"/>
        </w:rPr>
        <w:t>本协议一式三份，甲乙双方和村民委员会各持一份，签字盖章后生效。</w:t>
      </w:r>
    </w:p>
    <w:p w14:paraId="2FB3B7C2">
      <w:pPr>
        <w:rPr>
          <w:highlight w:val="none"/>
          <w:u w:val="none"/>
        </w:rPr>
      </w:pPr>
    </w:p>
    <w:p w14:paraId="3B5A1B5C">
      <w:pPr>
        <w:rPr>
          <w:highlight w:val="none"/>
          <w:u w:val="none"/>
        </w:rPr>
      </w:pPr>
      <w:r>
        <w:rPr>
          <w:highlight w:val="none"/>
          <w:u w:val="none"/>
        </w:rPr>
        <w:t>甲方（村民委员会代章）：</w:t>
      </w:r>
      <w:r>
        <w:rPr>
          <w:highlight w:val="none"/>
          <w:u w:val="none"/>
        </w:rPr>
        <w:tab/>
      </w:r>
      <w:r>
        <w:rPr>
          <w:highlight w:val="none"/>
          <w:u w:val="none"/>
        </w:rPr>
        <w:t xml:space="preserve">     乙方（盖章）：</w:t>
      </w:r>
    </w:p>
    <w:p w14:paraId="3E56BB17">
      <w:pPr>
        <w:rPr>
          <w:highlight w:val="none"/>
          <w:u w:val="none"/>
        </w:rPr>
      </w:pPr>
    </w:p>
    <w:p w14:paraId="40116016">
      <w:pPr>
        <w:rPr>
          <w:highlight w:val="none"/>
          <w:u w:val="none"/>
        </w:rPr>
      </w:pPr>
      <w:r>
        <w:rPr>
          <w:highlight w:val="none"/>
          <w:u w:val="none"/>
        </w:rPr>
        <w:t xml:space="preserve">理事长签字：               </w:t>
      </w:r>
      <w:r>
        <w:rPr>
          <w:highlight w:val="none"/>
          <w:u w:val="none"/>
        </w:rPr>
        <w:tab/>
      </w:r>
      <w:r>
        <w:rPr>
          <w:highlight w:val="none"/>
          <w:u w:val="none"/>
        </w:rPr>
        <w:t xml:space="preserve">  负责人签字：</w:t>
      </w:r>
    </w:p>
    <w:p w14:paraId="07065CC5">
      <w:pPr>
        <w:ind w:right="1760"/>
        <w:jc w:val="right"/>
        <w:rPr>
          <w:highlight w:val="none"/>
          <w:u w:val="none"/>
        </w:rPr>
      </w:pPr>
      <w:r>
        <w:rPr>
          <w:highlight w:val="none"/>
          <w:u w:val="none"/>
        </w:rPr>
        <w:t>年   月   日</w:t>
      </w:r>
    </w:p>
    <w:p w14:paraId="4ADB163E">
      <w:pPr>
        <w:spacing w:line="240" w:lineRule="auto"/>
        <w:ind w:firstLine="0" w:firstLineChars="0"/>
        <w:jc w:val="left"/>
        <w:rPr>
          <w:highlight w:val="none"/>
          <w:u w:val="none"/>
        </w:rPr>
      </w:pPr>
      <w:r>
        <w:rPr>
          <w:highlight w:val="none"/>
          <w:u w:val="none"/>
        </w:rPr>
        <w:br w:type="page"/>
      </w:r>
    </w:p>
    <w:p w14:paraId="7A6C32C1">
      <w:pPr>
        <w:pStyle w:val="16"/>
        <w:rPr>
          <w:rFonts w:ascii="Times New Roman" w:hAnsi="Times New Roman" w:cs="Times New Roman"/>
          <w:highlight w:val="none"/>
          <w:u w:val="none"/>
        </w:rPr>
      </w:pPr>
      <w:r>
        <w:rPr>
          <w:rFonts w:ascii="Times New Roman" w:hAnsi="Times New Roman" w:cs="Times New Roman"/>
          <w:highlight w:val="none"/>
          <w:u w:val="none"/>
        </w:rPr>
        <w:t>材料运输协议（模板）</w:t>
      </w:r>
    </w:p>
    <w:p w14:paraId="1C9C5DAE">
      <w:pPr>
        <w:rPr>
          <w:highlight w:val="none"/>
          <w:u w:val="none"/>
        </w:rPr>
      </w:pPr>
    </w:p>
    <w:p w14:paraId="4751EF21">
      <w:pPr>
        <w:ind w:firstLine="0" w:firstLineChars="0"/>
        <w:rPr>
          <w:highlight w:val="none"/>
          <w:u w:val="none"/>
        </w:rPr>
      </w:pPr>
      <w:r>
        <w:rPr>
          <w:highlight w:val="none"/>
          <w:u w:val="none"/>
        </w:rPr>
        <w:t>甲方：××项目理事会</w:t>
      </w:r>
    </w:p>
    <w:p w14:paraId="310609D7">
      <w:pPr>
        <w:ind w:firstLine="0" w:firstLineChars="0"/>
        <w:rPr>
          <w:highlight w:val="none"/>
          <w:u w:val="none"/>
        </w:rPr>
      </w:pPr>
      <w:r>
        <w:rPr>
          <w:highlight w:val="none"/>
          <w:u w:val="none"/>
        </w:rPr>
        <w:t>乙方：××</w:t>
      </w:r>
    </w:p>
    <w:p w14:paraId="493D0104">
      <w:pPr>
        <w:rPr>
          <w:highlight w:val="none"/>
          <w:u w:val="none"/>
        </w:rPr>
      </w:pPr>
      <w:r>
        <w:rPr>
          <w:highlight w:val="none"/>
          <w:u w:val="none"/>
        </w:rPr>
        <w:t>根据《中华人民共和国民法典》及以工代赈项目管理有关规定，经项目理事会（以下简称甲方）通过询价及集体讨论决定，并报村“两委”和乡镇政府同意，甲乙双方本着平等、自愿、公平、诚信的原则，经协商一致，就材料运输及其相关事宜达成如下协议：</w:t>
      </w:r>
    </w:p>
    <w:p w14:paraId="173426BD">
      <w:pPr>
        <w:pStyle w:val="2"/>
        <w:keepNext w:val="0"/>
        <w:keepLines w:val="0"/>
        <w:rPr>
          <w:highlight w:val="none"/>
          <w:u w:val="none"/>
        </w:rPr>
      </w:pPr>
      <w:r>
        <w:rPr>
          <w:highlight w:val="none"/>
          <w:u w:val="none"/>
        </w:rPr>
        <w:t>一、工程建设地点</w:t>
      </w:r>
    </w:p>
    <w:p w14:paraId="551DB69E">
      <w:pPr>
        <w:rPr>
          <w:highlight w:val="none"/>
          <w:u w:val="none"/>
        </w:rPr>
      </w:pPr>
      <w:r>
        <w:rPr>
          <w:highlight w:val="none"/>
          <w:u w:val="none"/>
        </w:rPr>
        <w:t xml:space="preserve">                     </w:t>
      </w:r>
    </w:p>
    <w:p w14:paraId="06BDA32C">
      <w:pPr>
        <w:pStyle w:val="2"/>
        <w:keepNext w:val="0"/>
        <w:keepLines w:val="0"/>
        <w:rPr>
          <w:highlight w:val="none"/>
          <w:u w:val="none"/>
        </w:rPr>
      </w:pPr>
      <w:r>
        <w:rPr>
          <w:highlight w:val="none"/>
          <w:u w:val="none"/>
        </w:rPr>
        <w:t>二、建设工期</w:t>
      </w:r>
    </w:p>
    <w:p w14:paraId="2F7B939B">
      <w:pPr>
        <w:rPr>
          <w:highlight w:val="none"/>
          <w:u w:val="none"/>
        </w:rPr>
      </w:pPr>
      <w:r>
        <w:rPr>
          <w:highlight w:val="none"/>
          <w:u w:val="none"/>
        </w:rPr>
        <w:t xml:space="preserve">开工时间         ，计划完成时间        </w:t>
      </w:r>
    </w:p>
    <w:p w14:paraId="1D7059E1">
      <w:pPr>
        <w:pStyle w:val="2"/>
        <w:keepNext w:val="0"/>
        <w:keepLines w:val="0"/>
        <w:rPr>
          <w:highlight w:val="none"/>
          <w:u w:val="none"/>
        </w:rPr>
      </w:pPr>
      <w:r>
        <w:rPr>
          <w:highlight w:val="none"/>
          <w:u w:val="none"/>
        </w:rPr>
        <w:t>三、运输车辆标载及价格</w:t>
      </w:r>
    </w:p>
    <w:p w14:paraId="6593BF25">
      <w:pPr>
        <w:rPr>
          <w:highlight w:val="none"/>
          <w:u w:val="none"/>
        </w:rPr>
      </w:pPr>
      <w:r>
        <w:rPr>
          <w:highlight w:val="none"/>
          <w:u w:val="none"/>
        </w:rPr>
        <w:t>运输车辆须持有正规的手续，主要包括但不仅限于车辆牌照、运营许可、车辆年检及驾驶证、保险等。乙方须将材料运送至甲方指定地点。</w:t>
      </w:r>
    </w:p>
    <w:p w14:paraId="5B67F0EC">
      <w:pPr>
        <w:rPr>
          <w:highlight w:val="none"/>
          <w:u w:val="none"/>
        </w:rPr>
      </w:pPr>
      <w:r>
        <w:rPr>
          <w:highlight w:val="none"/>
          <w:u w:val="none"/>
        </w:rPr>
        <w:t>（一）××水泥：采用固定价计价方式，包干计量，××水泥运输费××元/吨（包括燃油、车辆维修、税等），水泥下车费××元/吨。运输人员及水泥卸车人员由乙方自行确定，人员安全由乙方与运输人员、卸车人员自行协商。地址：××。</w:t>
      </w:r>
    </w:p>
    <w:p w14:paraId="03FB9400">
      <w:pPr>
        <w:rPr>
          <w:highlight w:val="none"/>
          <w:u w:val="none"/>
        </w:rPr>
      </w:pPr>
      <w:r>
        <w:rPr>
          <w:highlight w:val="none"/>
          <w:u w:val="none"/>
        </w:rPr>
        <w:t>（二）机砂、石子：采用固定价计价方式，包干计量，××元/吨（包括燃油、车辆维修、税等），机砂、石子下车费××元/吨。运输人员及机砂、石子卸车人员由乙方自行确定，人员安全由乙方与运输人员、卸车人员自行协商。地址：××。</w:t>
      </w:r>
    </w:p>
    <w:p w14:paraId="6A72E22C">
      <w:pPr>
        <w:rPr>
          <w:highlight w:val="none"/>
          <w:u w:val="none"/>
        </w:rPr>
      </w:pPr>
      <w:r>
        <w:rPr>
          <w:highlight w:val="none"/>
          <w:u w:val="none"/>
        </w:rPr>
        <w:t>（三）涵管：××元/趟，采用固定价计价方式，包干计量，××元/吨（包括燃油、车辆维修、税等），涵管下车费××元/吨。运输人员及涵管卸车人员由乙方自行确定，人员安全由乙方与运输人员、卸车人员自行协商。地址：××。</w:t>
      </w:r>
    </w:p>
    <w:p w14:paraId="22D6FC45">
      <w:pPr>
        <w:pStyle w:val="2"/>
        <w:keepNext w:val="0"/>
        <w:keepLines w:val="0"/>
        <w:rPr>
          <w:highlight w:val="none"/>
          <w:u w:val="none"/>
        </w:rPr>
      </w:pPr>
      <w:r>
        <w:rPr>
          <w:highlight w:val="none"/>
          <w:u w:val="none"/>
        </w:rPr>
        <w:t>四、付款进度及方式</w:t>
      </w:r>
    </w:p>
    <w:p w14:paraId="350B986B">
      <w:pPr>
        <w:rPr>
          <w:highlight w:val="none"/>
          <w:u w:val="none"/>
        </w:rPr>
      </w:pPr>
      <w:r>
        <w:rPr>
          <w:highlight w:val="none"/>
          <w:u w:val="none"/>
        </w:rPr>
        <w:t>工程验收合格报账后付款，运输车辆租赁部分由乙方提供等额正式发票支付到乙方银行账户。乙方开户行：××，户名××，银行账号××。</w:t>
      </w:r>
    </w:p>
    <w:p w14:paraId="63BB9E2A">
      <w:pPr>
        <w:pStyle w:val="2"/>
        <w:keepNext w:val="0"/>
        <w:keepLines w:val="0"/>
        <w:rPr>
          <w:highlight w:val="none"/>
          <w:u w:val="none"/>
        </w:rPr>
      </w:pPr>
      <w:r>
        <w:rPr>
          <w:highlight w:val="none"/>
          <w:u w:val="none"/>
        </w:rPr>
        <w:t>五、各方权利和义务</w:t>
      </w:r>
    </w:p>
    <w:p w14:paraId="351B19BD">
      <w:pPr>
        <w:rPr>
          <w:highlight w:val="none"/>
          <w:u w:val="none"/>
        </w:rPr>
      </w:pPr>
      <w:r>
        <w:rPr>
          <w:highlight w:val="none"/>
          <w:u w:val="none"/>
        </w:rPr>
        <w:t>甲方根据工程建设要求和项目建设相关进度，做好运输材料相关告知工作，协调处理项目村的运输环境，并按要求做好项目报账工作，保障运输费足额到位。</w:t>
      </w:r>
    </w:p>
    <w:p w14:paraId="2A1E8B36">
      <w:pPr>
        <w:rPr>
          <w:highlight w:val="none"/>
          <w:u w:val="none"/>
        </w:rPr>
      </w:pPr>
      <w:r>
        <w:rPr>
          <w:highlight w:val="none"/>
          <w:u w:val="none"/>
        </w:rPr>
        <w:t>乙方按照甲方项目建设进度要求，按时按要求将材料运输至甲方指定地点，并自行承担安全责任。因材料运输不能保障而导致项目延期等造成经济损失的，由乙方承担相对应的经济赔偿责任。</w:t>
      </w:r>
    </w:p>
    <w:p w14:paraId="562E606A">
      <w:pPr>
        <w:pStyle w:val="2"/>
        <w:keepNext w:val="0"/>
        <w:keepLines w:val="0"/>
        <w:rPr>
          <w:highlight w:val="none"/>
          <w:u w:val="none"/>
        </w:rPr>
      </w:pPr>
      <w:r>
        <w:rPr>
          <w:highlight w:val="none"/>
          <w:u w:val="none"/>
        </w:rPr>
        <w:t>六、违约责任</w:t>
      </w:r>
    </w:p>
    <w:p w14:paraId="3120EF7C">
      <w:pPr>
        <w:rPr>
          <w:highlight w:val="none"/>
          <w:u w:val="none"/>
        </w:rPr>
      </w:pPr>
      <w:r>
        <w:rPr>
          <w:highlight w:val="none"/>
          <w:u w:val="none"/>
        </w:rPr>
        <w:t>甲、乙双方须严格履行合同约定的各项义务，若发生违约行为，双方均有权向项目所在地人民法院起诉，赔偿相应损失并接受处罚。</w:t>
      </w:r>
    </w:p>
    <w:p w14:paraId="7425F540">
      <w:pPr>
        <w:pStyle w:val="2"/>
        <w:keepNext w:val="0"/>
        <w:keepLines w:val="0"/>
        <w:rPr>
          <w:highlight w:val="none"/>
          <w:u w:val="none"/>
        </w:rPr>
      </w:pPr>
      <w:r>
        <w:rPr>
          <w:highlight w:val="none"/>
          <w:u w:val="none"/>
        </w:rPr>
        <w:t>七、其他</w:t>
      </w:r>
    </w:p>
    <w:p w14:paraId="5B8E0118">
      <w:pPr>
        <w:rPr>
          <w:highlight w:val="none"/>
          <w:u w:val="none"/>
        </w:rPr>
      </w:pPr>
      <w:r>
        <w:rPr>
          <w:highlight w:val="none"/>
          <w:u w:val="none"/>
        </w:rPr>
        <w:t>本协议一式三份，甲乙双方和村民委员会各持一份，签字盖章后生效。</w:t>
      </w:r>
    </w:p>
    <w:p w14:paraId="68A8242B">
      <w:pPr>
        <w:rPr>
          <w:highlight w:val="none"/>
          <w:u w:val="none"/>
        </w:rPr>
      </w:pPr>
    </w:p>
    <w:p w14:paraId="541479A6">
      <w:pPr>
        <w:rPr>
          <w:highlight w:val="none"/>
          <w:u w:val="none"/>
        </w:rPr>
      </w:pPr>
    </w:p>
    <w:p w14:paraId="266DDE7C">
      <w:pPr>
        <w:rPr>
          <w:highlight w:val="none"/>
          <w:u w:val="none"/>
        </w:rPr>
      </w:pPr>
      <w:r>
        <w:rPr>
          <w:highlight w:val="none"/>
          <w:u w:val="none"/>
        </w:rPr>
        <w:t>甲方（村民委员会代章）：</w:t>
      </w:r>
      <w:r>
        <w:rPr>
          <w:highlight w:val="none"/>
          <w:u w:val="none"/>
        </w:rPr>
        <w:tab/>
      </w:r>
      <w:r>
        <w:rPr>
          <w:highlight w:val="none"/>
          <w:u w:val="none"/>
        </w:rPr>
        <w:t xml:space="preserve">    乙方（盖章）：</w:t>
      </w:r>
    </w:p>
    <w:p w14:paraId="70CE6CA2">
      <w:pPr>
        <w:rPr>
          <w:highlight w:val="none"/>
          <w:u w:val="none"/>
        </w:rPr>
      </w:pPr>
    </w:p>
    <w:p w14:paraId="7189AC84">
      <w:pPr>
        <w:rPr>
          <w:highlight w:val="none"/>
          <w:u w:val="none"/>
        </w:rPr>
      </w:pPr>
    </w:p>
    <w:p w14:paraId="3109C03D">
      <w:pPr>
        <w:rPr>
          <w:highlight w:val="none"/>
          <w:u w:val="none"/>
        </w:rPr>
      </w:pPr>
      <w:r>
        <w:rPr>
          <w:highlight w:val="none"/>
          <w:u w:val="none"/>
        </w:rPr>
        <w:t xml:space="preserve">理事长签字：               </w:t>
      </w:r>
      <w:r>
        <w:rPr>
          <w:highlight w:val="none"/>
          <w:u w:val="none"/>
        </w:rPr>
        <w:tab/>
      </w:r>
      <w:r>
        <w:rPr>
          <w:highlight w:val="none"/>
          <w:u w:val="none"/>
        </w:rPr>
        <w:t xml:space="preserve">  负责人签字：</w:t>
      </w:r>
    </w:p>
    <w:p w14:paraId="5821947B">
      <w:pPr>
        <w:ind w:right="1760"/>
        <w:jc w:val="right"/>
        <w:rPr>
          <w:color w:val="000000" w:themeColor="text1"/>
          <w:u w:val="none"/>
          <w14:textFill>
            <w14:solidFill>
              <w14:schemeClr w14:val="tx1"/>
            </w14:solidFill>
          </w14:textFill>
        </w:rPr>
      </w:pPr>
      <w:r>
        <w:rPr>
          <w:highlight w:val="none"/>
          <w:u w:val="none"/>
        </w:rPr>
        <w:t>年   月   日</w:t>
      </w:r>
    </w:p>
    <w:sectPr>
      <w:footerReference r:id="rId5" w:type="default"/>
      <w:pgSz w:w="11906" w:h="16838"/>
      <w:pgMar w:top="1871" w:right="1531" w:bottom="1871" w:left="1531" w:header="850" w:footer="1361"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A37081-F5DB-4D31-AD0F-B8EE834D4A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DE03B2-4F7C-488B-8072-11C71920C9E9}"/>
  </w:font>
  <w:font w:name="仿宋_GB2312">
    <w:panose1 w:val="02010609030101010101"/>
    <w:charset w:val="86"/>
    <w:family w:val="modern"/>
    <w:pitch w:val="default"/>
    <w:sig w:usb0="00000001" w:usb1="080E0000" w:usb2="00000000" w:usb3="00000000" w:csb0="00040000" w:csb1="00000000"/>
    <w:embedRegular r:id="rId3" w:fontKey="{B0B99310-15AC-4660-A484-5166C9BF5D82}"/>
  </w:font>
  <w:font w:name="楷体">
    <w:panose1 w:val="02010609060101010101"/>
    <w:charset w:val="86"/>
    <w:family w:val="modern"/>
    <w:pitch w:val="default"/>
    <w:sig w:usb0="800002BF" w:usb1="38CF7CFA" w:usb2="00000016" w:usb3="00000000" w:csb0="00040001" w:csb1="00000000"/>
    <w:embedRegular r:id="rId4" w:fontKey="{51BB68EC-625F-4E2D-BD79-9D91009ECDF9}"/>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1" w:csb1="00000000"/>
    <w:embedRegular r:id="rId5" w:fontKey="{94706C40-DE39-450D-A693-F4CA27A5E594}"/>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5DCD">
    <w:pPr>
      <w:pStyle w:val="10"/>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5F443">
                          <w:pPr>
                            <w:pStyle w:val="10"/>
                            <w:ind w:firstLine="0" w:firstLineChars="0"/>
                            <w:jc w:val="both"/>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C5F443">
                    <w:pPr>
                      <w:pStyle w:val="10"/>
                      <w:ind w:firstLine="0" w:firstLineChars="0"/>
                      <w:jc w:val="both"/>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attachedTemplate r:id="rId1"/>
  <w:documentProtection w:enforcement="0"/>
  <w:defaultTabStop w:val="420"/>
  <w:drawingGridHorizontalSpacing w:val="320"/>
  <w:drawingGridVerticalSpacing w:val="15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5ZjVhYzgyZThiMzRjYWQyMjc0Mzc1ZWM1NWU2NzEifQ=="/>
  </w:docVars>
  <w:rsids>
    <w:rsidRoot w:val="35487FA6"/>
    <w:rsid w:val="00061D62"/>
    <w:rsid w:val="000A10B1"/>
    <w:rsid w:val="000A5066"/>
    <w:rsid w:val="000C4E32"/>
    <w:rsid w:val="000E3B65"/>
    <w:rsid w:val="000F0A07"/>
    <w:rsid w:val="000F5FB3"/>
    <w:rsid w:val="00130085"/>
    <w:rsid w:val="001B6599"/>
    <w:rsid w:val="00291F48"/>
    <w:rsid w:val="002A6724"/>
    <w:rsid w:val="002D0698"/>
    <w:rsid w:val="003108D2"/>
    <w:rsid w:val="00316C07"/>
    <w:rsid w:val="00333A68"/>
    <w:rsid w:val="003464EF"/>
    <w:rsid w:val="003A0C9F"/>
    <w:rsid w:val="003C351E"/>
    <w:rsid w:val="003E1B80"/>
    <w:rsid w:val="003F2105"/>
    <w:rsid w:val="00423141"/>
    <w:rsid w:val="00423A69"/>
    <w:rsid w:val="00426761"/>
    <w:rsid w:val="00435009"/>
    <w:rsid w:val="00474BE8"/>
    <w:rsid w:val="00477496"/>
    <w:rsid w:val="004F3B09"/>
    <w:rsid w:val="004F4D24"/>
    <w:rsid w:val="00515876"/>
    <w:rsid w:val="005652D1"/>
    <w:rsid w:val="00580F4D"/>
    <w:rsid w:val="005A4B4A"/>
    <w:rsid w:val="005B25DD"/>
    <w:rsid w:val="005B7474"/>
    <w:rsid w:val="00630588"/>
    <w:rsid w:val="00654DBD"/>
    <w:rsid w:val="00665B2B"/>
    <w:rsid w:val="006C2494"/>
    <w:rsid w:val="006C4684"/>
    <w:rsid w:val="006C5A5A"/>
    <w:rsid w:val="006F70CF"/>
    <w:rsid w:val="00792288"/>
    <w:rsid w:val="00792558"/>
    <w:rsid w:val="007A2C23"/>
    <w:rsid w:val="00812C1B"/>
    <w:rsid w:val="00832470"/>
    <w:rsid w:val="008353D3"/>
    <w:rsid w:val="00840CC5"/>
    <w:rsid w:val="00847D83"/>
    <w:rsid w:val="0085578F"/>
    <w:rsid w:val="00863225"/>
    <w:rsid w:val="00960C85"/>
    <w:rsid w:val="009626C6"/>
    <w:rsid w:val="00994927"/>
    <w:rsid w:val="00A1508F"/>
    <w:rsid w:val="00A30880"/>
    <w:rsid w:val="00A67640"/>
    <w:rsid w:val="00A83459"/>
    <w:rsid w:val="00A874E1"/>
    <w:rsid w:val="00A95B6E"/>
    <w:rsid w:val="00AF7F49"/>
    <w:rsid w:val="00B330D9"/>
    <w:rsid w:val="00B35C4F"/>
    <w:rsid w:val="00B54680"/>
    <w:rsid w:val="00C02BDE"/>
    <w:rsid w:val="00C47589"/>
    <w:rsid w:val="00C73A49"/>
    <w:rsid w:val="00C76DB5"/>
    <w:rsid w:val="00CA5613"/>
    <w:rsid w:val="00D13490"/>
    <w:rsid w:val="00D23EE9"/>
    <w:rsid w:val="00D4176F"/>
    <w:rsid w:val="00D4685C"/>
    <w:rsid w:val="00D51D8D"/>
    <w:rsid w:val="00D964C0"/>
    <w:rsid w:val="00DA093A"/>
    <w:rsid w:val="00E238E7"/>
    <w:rsid w:val="00E50616"/>
    <w:rsid w:val="00E519A6"/>
    <w:rsid w:val="00E65D0D"/>
    <w:rsid w:val="00E7182D"/>
    <w:rsid w:val="00E734C5"/>
    <w:rsid w:val="00FA26EA"/>
    <w:rsid w:val="00FA68FC"/>
    <w:rsid w:val="01037A0A"/>
    <w:rsid w:val="03B723C8"/>
    <w:rsid w:val="042A37DA"/>
    <w:rsid w:val="08175BCF"/>
    <w:rsid w:val="089D0D5A"/>
    <w:rsid w:val="0ADD177F"/>
    <w:rsid w:val="0BF05254"/>
    <w:rsid w:val="120E05D2"/>
    <w:rsid w:val="127F6859"/>
    <w:rsid w:val="17AB0303"/>
    <w:rsid w:val="1B9A47EB"/>
    <w:rsid w:val="1D2C40BC"/>
    <w:rsid w:val="26F963AB"/>
    <w:rsid w:val="26FE07A5"/>
    <w:rsid w:val="29CF181E"/>
    <w:rsid w:val="2AAC3CEF"/>
    <w:rsid w:val="2BD22877"/>
    <w:rsid w:val="2DFFDBFD"/>
    <w:rsid w:val="2FB72DF3"/>
    <w:rsid w:val="30C77EDF"/>
    <w:rsid w:val="35487FA6"/>
    <w:rsid w:val="3AD6537C"/>
    <w:rsid w:val="3AE95C3B"/>
    <w:rsid w:val="40620E85"/>
    <w:rsid w:val="43775772"/>
    <w:rsid w:val="44915BF6"/>
    <w:rsid w:val="44C96B63"/>
    <w:rsid w:val="45E04DCF"/>
    <w:rsid w:val="46A22A74"/>
    <w:rsid w:val="481039F9"/>
    <w:rsid w:val="48723B77"/>
    <w:rsid w:val="4ADC3898"/>
    <w:rsid w:val="4DAA7AFC"/>
    <w:rsid w:val="4E56156E"/>
    <w:rsid w:val="5261569B"/>
    <w:rsid w:val="59EA5106"/>
    <w:rsid w:val="60AE1BB1"/>
    <w:rsid w:val="640963C4"/>
    <w:rsid w:val="644D5289"/>
    <w:rsid w:val="64B70CC9"/>
    <w:rsid w:val="65A65E76"/>
    <w:rsid w:val="66401FA8"/>
    <w:rsid w:val="67D05ED1"/>
    <w:rsid w:val="6ED31611"/>
    <w:rsid w:val="702A2C31"/>
    <w:rsid w:val="763E061E"/>
    <w:rsid w:val="77076975"/>
    <w:rsid w:val="78123ECA"/>
    <w:rsid w:val="79082769"/>
    <w:rsid w:val="7D0B7678"/>
    <w:rsid w:val="7FFA6DB5"/>
    <w:rsid w:val="ABCF1B7A"/>
    <w:rsid w:val="E2575259"/>
    <w:rsid w:val="E7FC9D77"/>
    <w:rsid w:val="FF7F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600" w:lineRule="exact"/>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1"/>
    <w:qFormat/>
    <w:uiPriority w:val="9"/>
    <w:pPr>
      <w:keepNext/>
      <w:keepLines/>
      <w:outlineLvl w:val="0"/>
    </w:pPr>
    <w:rPr>
      <w:rFonts w:eastAsia="黑体"/>
      <w:kern w:val="44"/>
      <w:szCs w:val="44"/>
    </w:rPr>
  </w:style>
  <w:style w:type="paragraph" w:styleId="3">
    <w:name w:val="heading 2"/>
    <w:basedOn w:val="1"/>
    <w:next w:val="1"/>
    <w:link w:val="28"/>
    <w:unhideWhenUsed/>
    <w:qFormat/>
    <w:uiPriority w:val="9"/>
    <w:pPr>
      <w:spacing w:line="580" w:lineRule="exact"/>
      <w:ind w:firstLine="653"/>
      <w:outlineLvl w:val="1"/>
    </w:pPr>
    <w:rPr>
      <w:rFonts w:ascii="楷体" w:hAnsi="楷体" w:eastAsia="楷体"/>
      <w:bCs/>
    </w:rPr>
  </w:style>
  <w:style w:type="paragraph" w:styleId="4">
    <w:name w:val="heading 3"/>
    <w:basedOn w:val="1"/>
    <w:next w:val="1"/>
    <w:link w:val="29"/>
    <w:unhideWhenUsed/>
    <w:qFormat/>
    <w:uiPriority w:val="9"/>
    <w:pPr>
      <w:ind w:firstLine="653"/>
      <w:outlineLvl w:val="2"/>
    </w:pPr>
    <w:rPr>
      <w:b/>
      <w:bCs/>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Indent"/>
    <w:basedOn w:val="1"/>
    <w:link w:val="30"/>
    <w:semiHidden/>
    <w:unhideWhenUsed/>
    <w:qFormat/>
    <w:uiPriority w:val="99"/>
    <w:pPr>
      <w:spacing w:after="120"/>
      <w:ind w:left="420" w:leftChars="200"/>
    </w:pPr>
  </w:style>
  <w:style w:type="paragraph" w:styleId="8">
    <w:name w:val="Date"/>
    <w:basedOn w:val="1"/>
    <w:next w:val="1"/>
    <w:link w:val="26"/>
    <w:semiHidden/>
    <w:unhideWhenUsed/>
    <w:qFormat/>
    <w:uiPriority w:val="99"/>
    <w:pPr>
      <w:ind w:left="100" w:leftChars="2500"/>
    </w:pPr>
  </w:style>
  <w:style w:type="paragraph" w:styleId="9">
    <w:name w:val="Balloon Text"/>
    <w:basedOn w:val="1"/>
    <w:link w:val="25"/>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spacing w:line="240" w:lineRule="atLeast"/>
      <w:ind w:firstLine="360"/>
      <w:jc w:val="center"/>
    </w:pPr>
    <w:rPr>
      <w:sz w:val="21"/>
      <w:szCs w:val="21"/>
    </w:rPr>
  </w:style>
  <w:style w:type="paragraph" w:styleId="11">
    <w:name w:val="header"/>
    <w:basedOn w:val="1"/>
    <w:link w:val="23"/>
    <w:unhideWhenUsed/>
    <w:qFormat/>
    <w:uiPriority w:val="99"/>
    <w:pPr>
      <w:tabs>
        <w:tab w:val="center" w:pos="4153"/>
        <w:tab w:val="right" w:pos="8306"/>
      </w:tabs>
      <w:snapToGrid w:val="0"/>
      <w:spacing w:line="240" w:lineRule="atLeast"/>
      <w:jc w:val="center"/>
    </w:pPr>
    <w:rPr>
      <w:sz w:val="18"/>
      <w:szCs w:val="18"/>
    </w:rPr>
  </w:style>
  <w:style w:type="paragraph" w:styleId="12">
    <w:name w:val="Subtitle"/>
    <w:basedOn w:val="13"/>
    <w:next w:val="1"/>
    <w:link w:val="27"/>
    <w:qFormat/>
    <w:uiPriority w:val="11"/>
    <w:pPr>
      <w:ind w:left="0" w:leftChars="0" w:firstLine="0" w:firstLineChars="0"/>
      <w:jc w:val="center"/>
    </w:pPr>
    <w:rPr>
      <w:rFonts w:ascii="楷体_GB2312" w:hAnsi="楷体_GB2312" w:eastAsia="楷体_GB2312"/>
      <w:b/>
      <w:bCs/>
      <w:sz w:val="32"/>
      <w:szCs w:val="30"/>
    </w:rPr>
  </w:style>
  <w:style w:type="paragraph" w:styleId="13">
    <w:name w:val="Body Text First Indent 2"/>
    <w:basedOn w:val="7"/>
    <w:link w:val="31"/>
    <w:unhideWhenUsed/>
    <w:qFormat/>
    <w:uiPriority w:val="0"/>
    <w:pPr>
      <w:ind w:firstLine="420"/>
    </w:pPr>
    <w:rPr>
      <w:rFonts w:ascii="Calibri" w:eastAsia="宋体"/>
      <w:sz w:val="21"/>
      <w:szCs w:val="22"/>
    </w:rPr>
  </w:style>
  <w:style w:type="paragraph" w:styleId="14">
    <w:name w:val="footnote text"/>
    <w:basedOn w:val="1"/>
    <w:link w:val="35"/>
    <w:semiHidden/>
    <w:unhideWhenUsed/>
    <w:qFormat/>
    <w:uiPriority w:val="99"/>
    <w:pPr>
      <w:snapToGrid w:val="0"/>
      <w:jc w:val="left"/>
    </w:pPr>
    <w:rPr>
      <w:sz w:val="18"/>
      <w:szCs w:val="18"/>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Title"/>
    <w:basedOn w:val="1"/>
    <w:next w:val="1"/>
    <w:link w:val="22"/>
    <w:qFormat/>
    <w:uiPriority w:val="10"/>
    <w:pPr>
      <w:ind w:firstLine="0" w:firstLineChars="0"/>
      <w:jc w:val="center"/>
      <w:outlineLvl w:val="0"/>
    </w:pPr>
    <w:rPr>
      <w:rFonts w:ascii="方正小标宋简体" w:hAnsi="华文中宋" w:eastAsia="方正小标宋简体" w:cs="方正小标宋简体"/>
      <w:sz w:val="44"/>
      <w:szCs w:val="44"/>
    </w:rPr>
  </w:style>
  <w:style w:type="table" w:styleId="18">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0">
    <w:name w:val="footnote reference"/>
    <w:basedOn w:val="19"/>
    <w:semiHidden/>
    <w:unhideWhenUsed/>
    <w:qFormat/>
    <w:uiPriority w:val="99"/>
    <w:rPr>
      <w:vertAlign w:val="superscript"/>
    </w:rPr>
  </w:style>
  <w:style w:type="character" w:customStyle="1" w:styleId="21">
    <w:name w:val="标题 1 字符"/>
    <w:basedOn w:val="19"/>
    <w:link w:val="2"/>
    <w:qFormat/>
    <w:uiPriority w:val="9"/>
    <w:rPr>
      <w:rFonts w:eastAsia="黑体"/>
      <w:kern w:val="44"/>
      <w:szCs w:val="44"/>
    </w:rPr>
  </w:style>
  <w:style w:type="character" w:customStyle="1" w:styleId="22">
    <w:name w:val="标题 字符"/>
    <w:basedOn w:val="19"/>
    <w:link w:val="16"/>
    <w:qFormat/>
    <w:uiPriority w:val="10"/>
    <w:rPr>
      <w:rFonts w:ascii="方正小标宋简体" w:hAnsi="华文中宋" w:eastAsia="方正小标宋简体" w:cs="方正小标宋简体"/>
      <w:sz w:val="44"/>
      <w:szCs w:val="44"/>
    </w:rPr>
  </w:style>
  <w:style w:type="character" w:customStyle="1" w:styleId="23">
    <w:name w:val="页眉 字符"/>
    <w:basedOn w:val="19"/>
    <w:link w:val="11"/>
    <w:qFormat/>
    <w:uiPriority w:val="99"/>
    <w:rPr>
      <w:sz w:val="18"/>
      <w:szCs w:val="18"/>
    </w:rPr>
  </w:style>
  <w:style w:type="character" w:customStyle="1" w:styleId="24">
    <w:name w:val="页脚 字符"/>
    <w:basedOn w:val="19"/>
    <w:link w:val="10"/>
    <w:qFormat/>
    <w:uiPriority w:val="99"/>
    <w:rPr>
      <w:sz w:val="21"/>
      <w:szCs w:val="21"/>
    </w:rPr>
  </w:style>
  <w:style w:type="character" w:customStyle="1" w:styleId="25">
    <w:name w:val="批注框文本 字符"/>
    <w:basedOn w:val="19"/>
    <w:link w:val="9"/>
    <w:semiHidden/>
    <w:qFormat/>
    <w:uiPriority w:val="99"/>
    <w:rPr>
      <w:sz w:val="18"/>
      <w:szCs w:val="18"/>
    </w:rPr>
  </w:style>
  <w:style w:type="character" w:customStyle="1" w:styleId="26">
    <w:name w:val="日期 字符"/>
    <w:basedOn w:val="19"/>
    <w:link w:val="8"/>
    <w:semiHidden/>
    <w:qFormat/>
    <w:uiPriority w:val="99"/>
  </w:style>
  <w:style w:type="character" w:customStyle="1" w:styleId="27">
    <w:name w:val="副标题 字符"/>
    <w:basedOn w:val="19"/>
    <w:link w:val="12"/>
    <w:qFormat/>
    <w:uiPriority w:val="11"/>
    <w:rPr>
      <w:rFonts w:ascii="楷体_GB2312" w:hAnsi="楷体_GB2312" w:eastAsia="楷体_GB2312"/>
      <w:b/>
      <w:bCs/>
      <w:sz w:val="32"/>
      <w:szCs w:val="30"/>
    </w:rPr>
  </w:style>
  <w:style w:type="character" w:customStyle="1" w:styleId="28">
    <w:name w:val="标题 2 字符"/>
    <w:basedOn w:val="19"/>
    <w:link w:val="3"/>
    <w:qFormat/>
    <w:uiPriority w:val="9"/>
    <w:rPr>
      <w:rFonts w:ascii="楷体" w:hAnsi="楷体" w:eastAsia="楷体"/>
      <w:bCs/>
    </w:rPr>
  </w:style>
  <w:style w:type="character" w:customStyle="1" w:styleId="29">
    <w:name w:val="标题 3 字符"/>
    <w:basedOn w:val="19"/>
    <w:link w:val="4"/>
    <w:qFormat/>
    <w:uiPriority w:val="9"/>
    <w:rPr>
      <w:b/>
      <w:bCs/>
    </w:rPr>
  </w:style>
  <w:style w:type="character" w:customStyle="1" w:styleId="30">
    <w:name w:val="正文文本缩进 字符"/>
    <w:basedOn w:val="19"/>
    <w:link w:val="7"/>
    <w:semiHidden/>
    <w:qFormat/>
    <w:uiPriority w:val="99"/>
  </w:style>
  <w:style w:type="character" w:customStyle="1" w:styleId="31">
    <w:name w:val="正文文本首行缩进 2 字符"/>
    <w:basedOn w:val="30"/>
    <w:link w:val="13"/>
    <w:qFormat/>
    <w:uiPriority w:val="0"/>
    <w:rPr>
      <w:rFonts w:ascii="Calibri" w:eastAsia="宋体"/>
      <w:sz w:val="21"/>
      <w:szCs w:val="22"/>
    </w:rPr>
  </w:style>
  <w:style w:type="paragraph" w:customStyle="1" w:styleId="32">
    <w:name w:val="标题附件"/>
    <w:basedOn w:val="1"/>
    <w:link w:val="33"/>
    <w:qFormat/>
    <w:uiPriority w:val="0"/>
    <w:rPr>
      <w:rFonts w:ascii="黑体" w:hAnsi="黑体" w:eastAsia="黑体"/>
    </w:rPr>
  </w:style>
  <w:style w:type="character" w:customStyle="1" w:styleId="33">
    <w:name w:val="标题附件 字符"/>
    <w:basedOn w:val="19"/>
    <w:link w:val="32"/>
    <w:qFormat/>
    <w:uiPriority w:val="0"/>
    <w:rPr>
      <w:rFonts w:ascii="黑体" w:hAnsi="黑体" w:eastAsia="黑体"/>
    </w:rPr>
  </w:style>
  <w:style w:type="paragraph" w:customStyle="1" w:styleId="34">
    <w:name w:val="附件"/>
    <w:basedOn w:val="1"/>
    <w:qFormat/>
    <w:uiPriority w:val="0"/>
    <w:rPr>
      <w:rFonts w:ascii="黑体" w:eastAsia="黑体"/>
    </w:rPr>
  </w:style>
  <w:style w:type="character" w:customStyle="1" w:styleId="35">
    <w:name w:val="脚注文本 字符"/>
    <w:basedOn w:val="19"/>
    <w:link w:val="14"/>
    <w:semiHidden/>
    <w:qFormat/>
    <w:uiPriority w:val="99"/>
    <w:rPr>
      <w:sz w:val="18"/>
      <w:szCs w:val="18"/>
    </w:rPr>
  </w:style>
  <w:style w:type="paragraph" w:customStyle="1" w:styleId="36">
    <w:name w:val="表格"/>
    <w:basedOn w:val="1"/>
    <w:qFormat/>
    <w:uiPriority w:val="0"/>
    <w:pPr>
      <w:spacing w:line="420" w:lineRule="exact"/>
      <w:ind w:firstLine="0" w:firstLineChars="0"/>
      <w:jc w:val="center"/>
    </w:pPr>
    <w:rPr>
      <w:rFonts w:ascii="黑体" w:hAnsi="黑体" w:eastAsia="黑体" w:cs="黑体"/>
      <w:sz w:val="24"/>
    </w:rPr>
  </w:style>
  <w:style w:type="paragraph" w:customStyle="1" w:styleId="37">
    <w:name w:val="Revision"/>
    <w:hidden/>
    <w:unhideWhenUsed/>
    <w:qFormat/>
    <w:uiPriority w:val="99"/>
    <w:pPr>
      <w:spacing w:after="0" w:line="240" w:lineRule="auto"/>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ning\Library\Containers\com.kingsoft.wpsoffice.mac\Data\C:\Users\41074\AppData\Roaming\kingsoft\office6\templates\wps\zh_CN\&#27169;&#26495;.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C:\Users\41074\AppData\Roaming\kingsoft\office6\templates\wps\zh_CN\模板.dotx</Template>
  <Pages>46</Pages>
  <Words>2906</Words>
  <Characters>2934</Characters>
  <Lines>63</Lines>
  <Paragraphs>44</Paragraphs>
  <TotalTime>1</TotalTime>
  <ScaleCrop>false</ScaleCrop>
  <LinksUpToDate>false</LinksUpToDate>
  <CharactersWithSpaces>2951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2025-04-28T00:23:00Z</dcterms:created>
  <dc:creator>小胖墩</dc:creator>
  <cp:lastModifiedBy>小胖墩</cp:lastModifiedBy>
  <cp:lastPrinted>2025-04-27T02:35:00Z</cp:lastPrinted>
  <dcterms:modified xsi:type="dcterms:W3CDTF">2025-04-28T02:12:19Z</dcterms:modified>
  <dc:title>以工代赈项目采用灵活方式发包实施办法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B057F974A68D4B0EBFAAE251477BFA48_13</vt:lpwstr>
  </property>
  <property fmtid="{D5CDD505-2E9C-101B-9397-08002B2CF9AE}" pid="4" name="KSOTemplateDocerSaveRecord">
    <vt:lpwstr>eyJoZGlkIjoiNjM0ZjU0NGI4MWE2MDdiOGZhN2NjOWViMWE3YWFlNzIiLCJ1c2VySWQiOiI1MDI5MDY4NTAifQ==</vt:lpwstr>
  </property>
</Properties>
</file>