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keepLines/>
        <w:spacing w:before="0" w:after="0" w:line="600" w:lineRule="exact"/>
        <w:rPr>
          <w:rFonts w:hint="eastAsia" w:ascii="方正小标宋简体" w:hAnsi="方正小标宋简体" w:eastAsia="方正小标宋简体" w:cs="方正小标宋_GBK"/>
          <w:color w:val="auto"/>
          <w:sz w:val="44"/>
          <w:szCs w:val="44"/>
        </w:rPr>
      </w:pPr>
      <w:bookmarkStart w:id="0" w:name="bookmark0"/>
      <w:bookmarkStart w:id="1" w:name="bookmark1"/>
      <w:bookmarkStart w:id="2" w:name="bookmark2"/>
      <w:r>
        <w:rPr>
          <w:rFonts w:hint="eastAsia" w:ascii="方正小标宋简体" w:hAnsi="方正小标宋简体" w:eastAsia="方正小标宋简体" w:cs="方正小标宋_GBK"/>
          <w:color w:val="auto"/>
          <w:sz w:val="44"/>
          <w:szCs w:val="44"/>
          <w:lang w:val="en-US" w:eastAsia="zh-CN"/>
        </w:rPr>
        <w:t>降低社会物流成本专项投资补助</w:t>
      </w:r>
      <w:r>
        <w:rPr>
          <w:rFonts w:hint="eastAsia" w:ascii="方正小标宋简体" w:hAnsi="方正小标宋简体" w:eastAsia="方正小标宋简体" w:cs="方正小标宋_GBK"/>
          <w:color w:val="auto"/>
          <w:sz w:val="44"/>
          <w:szCs w:val="44"/>
        </w:rPr>
        <w:t>管理办法</w:t>
      </w:r>
      <w:bookmarkEnd w:id="0"/>
      <w:bookmarkEnd w:id="1"/>
      <w:bookmarkEnd w:id="2"/>
    </w:p>
    <w:p>
      <w:pPr>
        <w:pStyle w:val="7"/>
        <w:keepNext/>
        <w:keepLines/>
        <w:spacing w:before="0" w:after="0" w:line="600" w:lineRule="exact"/>
        <w:rPr>
          <w:rFonts w:hint="default" w:ascii="方正小标宋简体" w:hAnsi="方正小标宋简体" w:eastAsia="方正小标宋简体" w:cs="方正小标宋_GBK"/>
          <w:color w:val="auto"/>
          <w:sz w:val="44"/>
          <w:szCs w:val="44"/>
          <w:lang w:val="en-US" w:eastAsia="zh-CN"/>
        </w:rPr>
      </w:pPr>
      <w:r>
        <w:rPr>
          <w:rFonts w:hint="eastAsia" w:ascii="方正小标宋简体" w:hAnsi="方正小标宋简体" w:eastAsia="方正小标宋简体" w:cs="方正小标宋_GBK"/>
          <w:color w:val="auto"/>
          <w:sz w:val="44"/>
          <w:szCs w:val="44"/>
          <w:lang w:eastAsia="zh-CN"/>
        </w:rPr>
        <w:t>（</w:t>
      </w:r>
      <w:r>
        <w:rPr>
          <w:rFonts w:hint="eastAsia" w:ascii="方正小标宋简体" w:hAnsi="方正小标宋简体" w:eastAsia="方正小标宋简体" w:cs="方正小标宋_GBK"/>
          <w:color w:val="auto"/>
          <w:sz w:val="44"/>
          <w:szCs w:val="44"/>
          <w:lang w:val="en-US" w:eastAsia="zh-CN"/>
        </w:rPr>
        <w:t>征求意见稿）</w:t>
      </w:r>
      <w:bookmarkStart w:id="10" w:name="_GoBack"/>
      <w:bookmarkEnd w:id="10"/>
    </w:p>
    <w:p>
      <w:pPr>
        <w:pStyle w:val="9"/>
        <w:spacing w:line="600" w:lineRule="exact"/>
        <w:ind w:firstLine="0"/>
        <w:jc w:val="center"/>
        <w:rPr>
          <w:rFonts w:ascii="仿宋_GB2312" w:hAnsi="黑体" w:eastAsia="仿宋_GB2312" w:cs="黑体"/>
          <w:color w:val="auto"/>
          <w:sz w:val="32"/>
          <w:szCs w:val="32"/>
        </w:rPr>
      </w:pPr>
    </w:p>
    <w:p>
      <w:pPr>
        <w:pStyle w:val="9"/>
        <w:keepNext w:val="0"/>
        <w:keepLines w:val="0"/>
        <w:pageBreakBefore w:val="0"/>
        <w:widowControl w:val="0"/>
        <w:kinsoku/>
        <w:wordWrap/>
        <w:overflowPunct/>
        <w:topLinePunct w:val="0"/>
        <w:autoSpaceDE/>
        <w:autoSpaceDN/>
        <w:bidi w:val="0"/>
        <w:adjustRightInd/>
        <w:snapToGrid/>
        <w:spacing w:before="181" w:beforeLines="50" w:after="181" w:afterLines="50" w:line="600" w:lineRule="exact"/>
        <w:ind w:firstLine="0"/>
        <w:jc w:val="center"/>
        <w:textAlignment w:val="auto"/>
        <w:rPr>
          <w:rFonts w:ascii="仿宋_GB2312" w:eastAsia="仿宋_GB2312"/>
          <w:color w:val="auto"/>
          <w:sz w:val="32"/>
          <w:szCs w:val="32"/>
        </w:rPr>
      </w:pPr>
      <w:r>
        <w:rPr>
          <w:rFonts w:hint="eastAsia" w:ascii="方正黑体_GBK" w:hAnsi="方正黑体_GBK" w:eastAsia="方正黑体_GBK" w:cs="方正黑体_GBK"/>
          <w:color w:val="auto"/>
          <w:sz w:val="32"/>
          <w:szCs w:val="32"/>
        </w:rPr>
        <w:t>第一章</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总则</w:t>
      </w:r>
    </w:p>
    <w:p>
      <w:pPr>
        <w:pStyle w:val="9"/>
        <w:spacing w:line="600" w:lineRule="exact"/>
        <w:ind w:firstLine="640" w:firstLineChars="200"/>
        <w:jc w:val="both"/>
        <w:rPr>
          <w:rFonts w:ascii="仿宋_GB2312" w:eastAsia="仿宋_GB2312"/>
          <w:color w:val="auto"/>
          <w:sz w:val="32"/>
          <w:szCs w:val="32"/>
        </w:rPr>
      </w:pPr>
      <w:r>
        <w:rPr>
          <w:rFonts w:hint="eastAsia" w:ascii="仿宋_GB2312" w:hAnsi="黑体" w:eastAsia="仿宋_GB2312" w:cs="黑体"/>
          <w:color w:val="auto"/>
          <w:sz w:val="32"/>
          <w:szCs w:val="32"/>
        </w:rPr>
        <w:t>第一条</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为规范</w:t>
      </w:r>
      <w:r>
        <w:rPr>
          <w:rFonts w:hint="eastAsia" w:ascii="仿宋_GB2312" w:eastAsia="仿宋_GB2312"/>
          <w:color w:val="auto"/>
          <w:sz w:val="32"/>
          <w:szCs w:val="32"/>
          <w:lang w:val="en-US" w:eastAsia="zh-CN"/>
        </w:rPr>
        <w:t>降低社会物流成本专项省级基本建设资金</w:t>
      </w:r>
      <w:r>
        <w:rPr>
          <w:rFonts w:hint="eastAsia" w:ascii="仿宋_GB2312" w:eastAsia="仿宋_GB2312"/>
          <w:color w:val="auto"/>
          <w:sz w:val="32"/>
          <w:szCs w:val="32"/>
        </w:rPr>
        <w:t>（简称本专项）项目管理，提高投资效率效益，根据《政府投资条例》（国务院令第712号）</w:t>
      </w:r>
      <w:r>
        <w:rPr>
          <w:rFonts w:hint="eastAsia" w:ascii="仿宋_GB2312" w:eastAsia="仿宋_GB2312"/>
          <w:color w:val="auto"/>
          <w:sz w:val="32"/>
          <w:szCs w:val="32"/>
          <w:lang w:eastAsia="zh-CN"/>
        </w:rPr>
        <w:t>、</w:t>
      </w:r>
      <w:r>
        <w:rPr>
          <w:rFonts w:hint="eastAsia" w:ascii="仿宋_GB2312" w:eastAsia="仿宋_GB2312"/>
          <w:color w:val="auto"/>
          <w:sz w:val="32"/>
          <w:szCs w:val="32"/>
        </w:rPr>
        <w:t>《山西省政府投资管理办法》（山西省人民政府第278号令）、《城乡冷链和国家物流枢纽建设中央预算内投资专项管理办法》（发改经贸规〔202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1753</w:t>
      </w:r>
      <w:r>
        <w:rPr>
          <w:rFonts w:hint="eastAsia" w:ascii="仿宋_GB2312" w:eastAsia="仿宋_GB2312"/>
          <w:color w:val="auto"/>
          <w:sz w:val="32"/>
          <w:szCs w:val="32"/>
        </w:rPr>
        <w:t>号）</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粮食等重要农产品仓储设施中央预算内投资专项管理办法</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发改经贸规〔2023〕1756号</w:t>
      </w:r>
      <w:r>
        <w:rPr>
          <w:rFonts w:hint="eastAsia" w:ascii="仿宋_GB2312" w:eastAsia="仿宋_GB2312"/>
          <w:color w:val="auto"/>
          <w:sz w:val="32"/>
          <w:szCs w:val="32"/>
          <w:lang w:eastAsia="zh-CN"/>
        </w:rPr>
        <w:t>）</w:t>
      </w:r>
      <w:r>
        <w:rPr>
          <w:rFonts w:hint="eastAsia" w:ascii="仿宋_GB2312" w:eastAsia="仿宋_GB2312"/>
          <w:color w:val="auto"/>
          <w:sz w:val="32"/>
          <w:szCs w:val="32"/>
        </w:rPr>
        <w:t>等有关规定，制定本办法。</w:t>
      </w:r>
    </w:p>
    <w:p>
      <w:pPr>
        <w:pStyle w:val="9"/>
        <w:spacing w:line="600" w:lineRule="exact"/>
        <w:ind w:firstLine="640" w:firstLineChars="200"/>
        <w:jc w:val="both"/>
        <w:rPr>
          <w:rFonts w:ascii="仿宋_GB2312" w:eastAsia="仿宋_GB2312"/>
          <w:color w:val="auto"/>
          <w:sz w:val="32"/>
          <w:szCs w:val="32"/>
        </w:rPr>
      </w:pPr>
      <w:r>
        <w:rPr>
          <w:rFonts w:hint="eastAsia" w:ascii="仿宋_GB2312" w:hAnsi="黑体" w:eastAsia="仿宋_GB2312" w:cs="黑体"/>
          <w:color w:val="auto"/>
          <w:sz w:val="32"/>
          <w:szCs w:val="32"/>
        </w:rPr>
        <w:t>第二条</w:t>
      </w:r>
      <w:r>
        <w:rPr>
          <w:rFonts w:hint="eastAsia" w:ascii="仿宋_GB2312" w:hAnsi="黑体" w:eastAsia="仿宋_GB2312" w:cs="黑体"/>
          <w:color w:val="auto"/>
          <w:sz w:val="32"/>
          <w:szCs w:val="32"/>
          <w:lang w:val="en-US" w:eastAsia="zh-CN"/>
        </w:rPr>
        <w:t xml:space="preserve"> </w:t>
      </w:r>
      <w:r>
        <w:rPr>
          <w:rFonts w:hint="eastAsia" w:ascii="仿宋_GB2312" w:eastAsia="仿宋_GB2312"/>
          <w:color w:val="auto"/>
          <w:sz w:val="32"/>
          <w:szCs w:val="32"/>
        </w:rPr>
        <w:t>本专项由</w:t>
      </w:r>
      <w:r>
        <w:rPr>
          <w:rFonts w:hint="eastAsia" w:ascii="仿宋_GB2312" w:eastAsia="仿宋_GB2312"/>
          <w:color w:val="auto"/>
          <w:sz w:val="32"/>
          <w:szCs w:val="32"/>
          <w:lang w:val="en-US" w:eastAsia="zh-CN"/>
        </w:rPr>
        <w:t>省</w:t>
      </w:r>
      <w:r>
        <w:rPr>
          <w:rFonts w:hint="eastAsia" w:ascii="仿宋_GB2312" w:eastAsia="仿宋_GB2312"/>
          <w:color w:val="auto"/>
          <w:sz w:val="32"/>
          <w:szCs w:val="32"/>
        </w:rPr>
        <w:t>发展改革委组织实施。各</w:t>
      </w:r>
      <w:r>
        <w:rPr>
          <w:rFonts w:hint="eastAsia" w:ascii="仿宋_GB2312" w:eastAsia="仿宋_GB2312"/>
          <w:color w:val="auto"/>
          <w:sz w:val="32"/>
          <w:szCs w:val="32"/>
          <w:lang w:val="en-US" w:eastAsia="zh-CN"/>
        </w:rPr>
        <w:t>市</w:t>
      </w:r>
      <w:r>
        <w:rPr>
          <w:rFonts w:hint="eastAsia" w:ascii="仿宋_GB2312" w:eastAsia="仿宋_GB2312"/>
          <w:color w:val="auto"/>
          <w:sz w:val="32"/>
          <w:szCs w:val="32"/>
        </w:rPr>
        <w:t>发展改革委、</w:t>
      </w:r>
      <w:r>
        <w:rPr>
          <w:rFonts w:hint="eastAsia" w:ascii="仿宋_GB2312" w:eastAsia="仿宋_GB2312"/>
          <w:color w:val="auto"/>
          <w:sz w:val="32"/>
          <w:szCs w:val="32"/>
          <w:lang w:val="en-US" w:eastAsia="zh-CN"/>
        </w:rPr>
        <w:t>山西综改示范区、省直相关单位</w:t>
      </w:r>
      <w:r>
        <w:rPr>
          <w:rFonts w:hint="eastAsia" w:ascii="仿宋_GB2312" w:eastAsia="仿宋_GB2312"/>
          <w:color w:val="auto"/>
          <w:sz w:val="32"/>
          <w:szCs w:val="32"/>
        </w:rPr>
        <w:t>等为项目汇总申报单位，按照</w:t>
      </w:r>
      <w:r>
        <w:rPr>
          <w:rFonts w:hint="eastAsia" w:ascii="仿宋_GB2312" w:eastAsia="仿宋_GB2312"/>
          <w:color w:val="auto"/>
          <w:sz w:val="32"/>
          <w:szCs w:val="32"/>
          <w:lang w:eastAsia="zh-CN"/>
        </w:rPr>
        <w:t>省发展改革委</w:t>
      </w:r>
      <w:r>
        <w:rPr>
          <w:rFonts w:hint="eastAsia" w:ascii="仿宋_GB2312" w:eastAsia="仿宋_GB2312"/>
          <w:color w:val="auto"/>
          <w:sz w:val="32"/>
          <w:szCs w:val="32"/>
        </w:rPr>
        <w:t>有关要求，负责本地区、本系统的项目储备、申报和管理等工作。</w:t>
      </w:r>
    </w:p>
    <w:p>
      <w:pPr>
        <w:pStyle w:val="9"/>
        <w:keepNext w:val="0"/>
        <w:keepLines w:val="0"/>
        <w:pageBreakBefore w:val="0"/>
        <w:widowControl w:val="0"/>
        <w:kinsoku/>
        <w:wordWrap/>
        <w:overflowPunct/>
        <w:topLinePunct w:val="0"/>
        <w:autoSpaceDE/>
        <w:autoSpaceDN/>
        <w:bidi w:val="0"/>
        <w:adjustRightInd/>
        <w:snapToGrid/>
        <w:spacing w:before="181" w:beforeLines="50" w:after="181" w:afterLines="50" w:line="600" w:lineRule="exact"/>
        <w:ind w:firstLine="0"/>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第二章</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支持</w:t>
      </w:r>
      <w:r>
        <w:rPr>
          <w:rFonts w:hint="eastAsia" w:ascii="方正黑体_GBK" w:hAnsi="方正黑体_GBK" w:eastAsia="方正黑体_GBK" w:cs="方正黑体_GBK"/>
          <w:color w:val="auto"/>
          <w:sz w:val="32"/>
          <w:szCs w:val="32"/>
          <w:lang w:val="en-US" w:eastAsia="zh-CN"/>
        </w:rPr>
        <w:t>范围</w:t>
      </w:r>
      <w:r>
        <w:rPr>
          <w:rFonts w:hint="eastAsia" w:ascii="方正黑体_GBK" w:hAnsi="方正黑体_GBK" w:eastAsia="方正黑体_GBK" w:cs="方正黑体_GBK"/>
          <w:color w:val="auto"/>
          <w:sz w:val="32"/>
          <w:szCs w:val="32"/>
        </w:rPr>
        <w:t>和</w:t>
      </w:r>
      <w:r>
        <w:rPr>
          <w:rFonts w:hint="eastAsia" w:ascii="方正黑体_GBK" w:hAnsi="方正黑体_GBK" w:eastAsia="方正黑体_GBK" w:cs="方正黑体_GBK"/>
          <w:color w:val="auto"/>
          <w:sz w:val="32"/>
          <w:szCs w:val="32"/>
          <w:lang w:val="en-US" w:eastAsia="zh-CN"/>
        </w:rPr>
        <w:t>补助</w:t>
      </w:r>
      <w:r>
        <w:rPr>
          <w:rFonts w:hint="eastAsia" w:ascii="方正黑体_GBK" w:hAnsi="方正黑体_GBK" w:eastAsia="方正黑体_GBK" w:cs="方正黑体_GBK"/>
          <w:color w:val="auto"/>
          <w:sz w:val="32"/>
          <w:szCs w:val="32"/>
        </w:rPr>
        <w:t>标准</w:t>
      </w:r>
    </w:p>
    <w:p>
      <w:pPr>
        <w:pStyle w:val="9"/>
        <w:spacing w:line="600" w:lineRule="exact"/>
        <w:ind w:firstLine="640" w:firstLineChars="200"/>
        <w:jc w:val="both"/>
        <w:rPr>
          <w:rFonts w:ascii="仿宋_GB2312" w:eastAsia="仿宋_GB2312"/>
          <w:color w:val="auto"/>
          <w:sz w:val="32"/>
          <w:szCs w:val="32"/>
          <w:highlight w:val="none"/>
        </w:rPr>
      </w:pPr>
      <w:r>
        <w:rPr>
          <w:rFonts w:hint="eastAsia" w:ascii="仿宋_GB2312" w:hAnsi="黑体" w:eastAsia="仿宋_GB2312" w:cs="黑体"/>
          <w:color w:val="auto"/>
          <w:sz w:val="32"/>
          <w:szCs w:val="32"/>
          <w:highlight w:val="none"/>
        </w:rPr>
        <w:t>第三条</w:t>
      </w:r>
      <w:r>
        <w:rPr>
          <w:rFonts w:hint="eastAsia" w:ascii="仿宋_GB2312" w:hAnsi="黑体" w:eastAsia="仿宋_GB2312" w:cs="黑体"/>
          <w:color w:val="auto"/>
          <w:sz w:val="32"/>
          <w:szCs w:val="32"/>
          <w:highlight w:val="none"/>
          <w:lang w:val="en-US" w:eastAsia="zh-CN"/>
        </w:rPr>
        <w:t xml:space="preserve"> </w:t>
      </w:r>
      <w:r>
        <w:rPr>
          <w:rFonts w:hint="eastAsia" w:ascii="仿宋_GB2312" w:eastAsia="仿宋_GB2312"/>
          <w:color w:val="auto"/>
          <w:sz w:val="32"/>
          <w:szCs w:val="32"/>
          <w:highlight w:val="none"/>
        </w:rPr>
        <w:t>本专项主要用于以下方向项目建设：</w:t>
      </w:r>
    </w:p>
    <w:p>
      <w:pPr>
        <w:pStyle w:val="9"/>
        <w:spacing w:line="600" w:lineRule="exact"/>
        <w:ind w:firstLine="640" w:firstLineChars="200"/>
        <w:jc w:val="both"/>
        <w:rPr>
          <w:rFonts w:hint="eastAsia" w:ascii="仿宋_GB2312" w:eastAsia="仿宋_GB2312"/>
          <w:color w:val="auto"/>
          <w:sz w:val="32"/>
          <w:szCs w:val="32"/>
          <w:lang w:val="en-US" w:eastAsia="zh-CN"/>
        </w:rPr>
      </w:pPr>
      <w:bookmarkStart w:id="3" w:name="bookmark3"/>
      <w:r>
        <w:rPr>
          <w:rFonts w:hint="eastAsia" w:ascii="仿宋_GB2312" w:eastAsia="仿宋_GB2312"/>
          <w:color w:val="auto"/>
          <w:sz w:val="32"/>
          <w:szCs w:val="32"/>
        </w:rPr>
        <w:t>（</w:t>
      </w:r>
      <w:bookmarkEnd w:id="3"/>
      <w:r>
        <w:rPr>
          <w:rFonts w:hint="eastAsia" w:ascii="仿宋_GB2312" w:eastAsia="仿宋_GB2312"/>
          <w:color w:val="auto"/>
          <w:sz w:val="32"/>
          <w:szCs w:val="32"/>
        </w:rPr>
        <w:t>一）</w:t>
      </w:r>
      <w:r>
        <w:rPr>
          <w:rFonts w:hint="eastAsia" w:ascii="仿宋_GB2312" w:eastAsia="仿宋_GB2312"/>
          <w:color w:val="auto"/>
          <w:sz w:val="32"/>
          <w:szCs w:val="32"/>
          <w:lang w:val="en-US" w:eastAsia="zh-CN"/>
        </w:rPr>
        <w:t>物流方向</w:t>
      </w:r>
    </w:p>
    <w:p>
      <w:pPr>
        <w:pStyle w:val="9"/>
        <w:spacing w:line="600" w:lineRule="exact"/>
        <w:ind w:left="0" w:leftChars="0"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物流基础设施补短板项目。重点支持已纳入年度建设名单的国家物流枢纽、国家骨干冷链物流基地和国家级示范物流园区范围内的基础性、公共性、公益性设施补短板项目，包括多式联运转运场站项目，高标准公共仓储设施新建、改扩建及智能化改造项目，保税仓储设施项目，公共物流信息平台和信息化提升项目，应急物流设施项目等。</w:t>
      </w:r>
    </w:p>
    <w:p>
      <w:pPr>
        <w:pStyle w:val="9"/>
        <w:spacing w:line="600" w:lineRule="exact"/>
        <w:ind w:firstLine="640" w:firstLineChars="200"/>
        <w:jc w:val="both"/>
        <w:rPr>
          <w:rFonts w:hint="eastAsia" w:ascii="仿宋_GB2312" w:eastAsia="仿宋_GB2312"/>
          <w:color w:val="auto"/>
          <w:sz w:val="32"/>
          <w:szCs w:val="32"/>
          <w:lang w:eastAsia="zh-CN"/>
        </w:rPr>
      </w:pPr>
      <w:bookmarkStart w:id="4" w:name="bookmark4"/>
      <w:r>
        <w:rPr>
          <w:rFonts w:hint="eastAsia" w:ascii="仿宋_GB2312" w:eastAsia="仿宋_GB2312"/>
          <w:color w:val="auto"/>
          <w:sz w:val="32"/>
          <w:szCs w:val="32"/>
          <w:lang w:val="en-US" w:eastAsia="zh-CN"/>
        </w:rPr>
        <w:t>2.晋冀鲁豫大宗</w:t>
      </w:r>
      <w:r>
        <w:rPr>
          <w:rFonts w:hint="eastAsia" w:ascii="仿宋_GB2312" w:eastAsia="仿宋_GB2312"/>
          <w:color w:val="auto"/>
          <w:sz w:val="32"/>
          <w:szCs w:val="32"/>
          <w:lang w:eastAsia="zh-CN"/>
        </w:rPr>
        <w:t>商品骨干流通走廊项目。</w:t>
      </w:r>
      <w:r>
        <w:rPr>
          <w:rFonts w:hint="eastAsia" w:ascii="仿宋_GB2312" w:eastAsia="仿宋_GB2312"/>
          <w:color w:val="auto"/>
          <w:sz w:val="32"/>
          <w:szCs w:val="32"/>
          <w:lang w:val="en-US" w:eastAsia="zh-CN"/>
        </w:rPr>
        <w:t>重点</w:t>
      </w:r>
      <w:r>
        <w:rPr>
          <w:rFonts w:hint="eastAsia" w:ascii="仿宋_GB2312" w:eastAsia="仿宋_GB2312"/>
          <w:color w:val="auto"/>
          <w:sz w:val="32"/>
          <w:szCs w:val="32"/>
          <w:lang w:eastAsia="zh-CN"/>
        </w:rPr>
        <w:t>支持晋冀鲁豫大宗商品骨干流通走廊的流通基础设施，主要包括相关大宗商品集散分拨中心、交易平台、保税仓库等仓储设施。</w:t>
      </w:r>
    </w:p>
    <w:p>
      <w:pPr>
        <w:pStyle w:val="9"/>
        <w:spacing w:line="600" w:lineRule="exact"/>
        <w:ind w:firstLine="640" w:firstLineChars="200"/>
        <w:jc w:val="both"/>
        <w:rPr>
          <w:rFonts w:hint="eastAsia" w:ascii="仿宋_GB2312" w:eastAsia="仿宋_GB2312"/>
          <w:color w:val="auto"/>
          <w:sz w:val="32"/>
          <w:szCs w:val="32"/>
        </w:rPr>
      </w:pPr>
      <w:r>
        <w:rPr>
          <w:rFonts w:hint="eastAsia" w:ascii="仿宋_GB2312" w:eastAsia="仿宋_GB2312" w:cs="宋体"/>
          <w:color w:val="auto"/>
          <w:sz w:val="32"/>
          <w:szCs w:val="32"/>
          <w:lang w:val="en-US" w:eastAsia="zh-CN"/>
        </w:rPr>
        <w:t>3.</w:t>
      </w:r>
      <w:r>
        <w:rPr>
          <w:rFonts w:hint="eastAsia" w:ascii="仿宋_GB2312" w:hAnsi="宋体" w:eastAsia="仿宋_GB2312" w:cs="宋体"/>
          <w:color w:val="auto"/>
          <w:sz w:val="32"/>
          <w:szCs w:val="32"/>
        </w:rPr>
        <w:t>城郊大仓基地项目。重点支持城郊大仓基地范围内的基础性、公共性、公益性补短板设施项目建设，包括高标准公共仓储、分拨配送设施新建、改扩建及智能化改造项目等。</w:t>
      </w:r>
    </w:p>
    <w:bookmarkEnd w:id="4"/>
    <w:p>
      <w:pPr>
        <w:pStyle w:val="9"/>
        <w:spacing w:line="60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冷链物流设施项目。重点支持冷链集配中心项目，公共冷库新建、改扩建、智能化改造及相关配套设施项目。</w:t>
      </w:r>
    </w:p>
    <w:p>
      <w:pPr>
        <w:pStyle w:val="9"/>
        <w:spacing w:line="600" w:lineRule="exact"/>
        <w:ind w:firstLine="640" w:firstLineChars="200"/>
        <w:jc w:val="both"/>
        <w:rPr>
          <w:rFonts w:hint="default" w:ascii="仿宋_GB2312" w:hAnsi="宋体" w:eastAsia="仿宋_GB2312" w:cs="宋体"/>
          <w:color w:val="auto"/>
          <w:sz w:val="32"/>
          <w:szCs w:val="32"/>
          <w:lang w:val="en-US" w:eastAsia="zh-CN"/>
        </w:rPr>
      </w:pPr>
      <w:r>
        <w:rPr>
          <w:rFonts w:hint="eastAsia" w:ascii="仿宋_GB2312" w:eastAsia="仿宋_GB2312" w:cs="宋体"/>
          <w:color w:val="auto"/>
          <w:sz w:val="32"/>
          <w:szCs w:val="32"/>
          <w:lang w:eastAsia="zh-CN"/>
        </w:rPr>
        <w:t>（</w:t>
      </w:r>
      <w:r>
        <w:rPr>
          <w:rFonts w:hint="eastAsia" w:ascii="仿宋_GB2312" w:eastAsia="仿宋_GB2312" w:cs="宋体"/>
          <w:color w:val="auto"/>
          <w:sz w:val="32"/>
          <w:szCs w:val="32"/>
          <w:lang w:val="en-US" w:eastAsia="zh-CN"/>
        </w:rPr>
        <w:t>二</w:t>
      </w:r>
      <w:r>
        <w:rPr>
          <w:rFonts w:hint="eastAsia" w:ascii="仿宋_GB2312" w:eastAsia="仿宋_GB2312" w:cs="宋体"/>
          <w:color w:val="auto"/>
          <w:sz w:val="32"/>
          <w:szCs w:val="32"/>
          <w:lang w:eastAsia="zh-CN"/>
        </w:rPr>
        <w:t>）</w:t>
      </w:r>
      <w:r>
        <w:rPr>
          <w:rFonts w:hint="eastAsia" w:ascii="仿宋_GB2312" w:eastAsia="仿宋_GB2312" w:cs="宋体"/>
          <w:color w:val="auto"/>
          <w:sz w:val="32"/>
          <w:szCs w:val="32"/>
          <w:lang w:val="en-US" w:eastAsia="zh-CN"/>
        </w:rPr>
        <w:t>粮食方向</w:t>
      </w:r>
    </w:p>
    <w:p>
      <w:pPr>
        <w:pStyle w:val="9"/>
        <w:spacing w:line="600" w:lineRule="exact"/>
        <w:ind w:firstLine="640" w:firstLineChars="200"/>
        <w:jc w:val="both"/>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1.省级储备粮食仓储物流设施项目。</w:t>
      </w:r>
    </w:p>
    <w:p>
      <w:pPr>
        <w:pStyle w:val="9"/>
        <w:spacing w:line="600" w:lineRule="exact"/>
        <w:ind w:firstLine="640" w:firstLineChars="200"/>
        <w:jc w:val="both"/>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承担地方政府粮食储备任务的粮食仓储设施项目，政策性粮食收购有仓容缺口区域的粮食仓储设施项目，位于粮食物流重点线路、节点上的粮食仓储物流项目，以及应急保障中心项目等。</w:t>
      </w:r>
    </w:p>
    <w:p>
      <w:pPr>
        <w:pStyle w:val="9"/>
        <w:spacing w:line="600" w:lineRule="exact"/>
        <w:ind w:firstLine="640" w:firstLineChars="200"/>
        <w:jc w:val="both"/>
        <w:rPr>
          <w:rFonts w:hint="eastAsia" w:ascii="仿宋_GB2312" w:eastAsia="仿宋_GB2312"/>
          <w:color w:val="auto"/>
          <w:sz w:val="32"/>
          <w:szCs w:val="32"/>
        </w:rPr>
      </w:pPr>
      <w:r>
        <w:rPr>
          <w:rFonts w:hint="eastAsia" w:ascii="仿宋_GB2312" w:hAnsi="黑体" w:eastAsia="仿宋_GB2312" w:cs="黑体"/>
          <w:color w:val="auto"/>
          <w:sz w:val="32"/>
          <w:szCs w:val="32"/>
        </w:rPr>
        <w:t>第四条</w:t>
      </w:r>
      <w:r>
        <w:rPr>
          <w:rFonts w:hint="eastAsia" w:ascii="仿宋_GB2312" w:hAnsi="黑体" w:eastAsia="仿宋_GB2312" w:cs="黑体"/>
          <w:color w:val="auto"/>
          <w:sz w:val="32"/>
          <w:szCs w:val="32"/>
          <w:lang w:val="en-US" w:eastAsia="zh-CN"/>
        </w:rPr>
        <w:t xml:space="preserve"> </w:t>
      </w:r>
      <w:r>
        <w:rPr>
          <w:rFonts w:hint="eastAsia" w:ascii="仿宋_GB2312" w:eastAsia="仿宋_GB2312"/>
          <w:color w:val="auto"/>
          <w:sz w:val="32"/>
          <w:szCs w:val="32"/>
        </w:rPr>
        <w:t>拟申报项目应符合以下条件：</w:t>
      </w:r>
    </w:p>
    <w:p>
      <w:pPr>
        <w:pStyle w:val="9"/>
        <w:spacing w:line="60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（一）依法完成审批、核准或备案程序，取得土地、规划等</w:t>
      </w:r>
      <w:r>
        <w:rPr>
          <w:rFonts w:hint="eastAsia" w:ascii="仿宋_GB2312" w:eastAsia="仿宋_GB2312"/>
          <w:color w:val="auto"/>
          <w:sz w:val="32"/>
          <w:szCs w:val="32"/>
          <w:lang w:val="en-US" w:eastAsia="zh-CN"/>
        </w:rPr>
        <w:t>前</w:t>
      </w:r>
      <w:r>
        <w:rPr>
          <w:rFonts w:hint="eastAsia" w:ascii="仿宋_GB2312" w:eastAsia="仿宋_GB2312"/>
          <w:color w:val="auto"/>
          <w:sz w:val="32"/>
          <w:szCs w:val="32"/>
        </w:rPr>
        <w:t>期手续；</w:t>
      </w:r>
    </w:p>
    <w:p>
      <w:pPr>
        <w:pStyle w:val="9"/>
        <w:spacing w:line="60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（二）拟新建项目</w:t>
      </w:r>
      <w:r>
        <w:rPr>
          <w:rFonts w:hint="eastAsia" w:ascii="仿宋_GB2312" w:eastAsia="仿宋_GB2312"/>
          <w:color w:val="auto"/>
          <w:sz w:val="32"/>
          <w:szCs w:val="32"/>
          <w:lang w:val="en-US" w:eastAsia="zh-CN"/>
        </w:rPr>
        <w:t>省级基本建设资金</w:t>
      </w:r>
      <w:r>
        <w:rPr>
          <w:rFonts w:hint="eastAsia" w:ascii="仿宋_GB2312" w:eastAsia="仿宋_GB2312"/>
          <w:color w:val="auto"/>
          <w:sz w:val="32"/>
          <w:szCs w:val="32"/>
        </w:rPr>
        <w:t>计划下达后即可按期开工建设；已开工项目申报时项目主体工程未完工；</w:t>
      </w:r>
    </w:p>
    <w:p>
      <w:pPr>
        <w:pStyle w:val="9"/>
        <w:spacing w:line="60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（三）未获得其他</w:t>
      </w:r>
      <w:r>
        <w:rPr>
          <w:rFonts w:hint="eastAsia" w:ascii="仿宋_GB2312" w:eastAsia="仿宋_GB2312"/>
          <w:color w:val="auto"/>
          <w:sz w:val="32"/>
          <w:szCs w:val="32"/>
          <w:lang w:val="en-US" w:eastAsia="zh-CN"/>
        </w:rPr>
        <w:t>省级</w:t>
      </w:r>
      <w:r>
        <w:rPr>
          <w:rFonts w:hint="eastAsia" w:ascii="仿宋_GB2312" w:eastAsia="仿宋_GB2312"/>
          <w:color w:val="auto"/>
          <w:sz w:val="32"/>
          <w:szCs w:val="32"/>
        </w:rPr>
        <w:t>财政性资金支持；</w:t>
      </w:r>
    </w:p>
    <w:p>
      <w:pPr>
        <w:pStyle w:val="9"/>
        <w:spacing w:line="60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四</w:t>
      </w:r>
      <w:r>
        <w:rPr>
          <w:rFonts w:hint="eastAsia" w:ascii="仿宋_GB2312" w:eastAsia="仿宋_GB2312"/>
          <w:color w:val="auto"/>
          <w:sz w:val="32"/>
          <w:szCs w:val="32"/>
          <w:lang w:eastAsia="zh-CN"/>
        </w:rPr>
        <w:t>）</w:t>
      </w:r>
      <w:r>
        <w:rPr>
          <w:rFonts w:hint="eastAsia" w:ascii="仿宋_GB2312" w:eastAsia="仿宋_GB2312"/>
          <w:color w:val="auto"/>
          <w:sz w:val="32"/>
          <w:szCs w:val="32"/>
        </w:rPr>
        <w:t>项目单位未列入严重失信主体名单。</w:t>
      </w:r>
    </w:p>
    <w:p>
      <w:pPr>
        <w:pStyle w:val="9"/>
        <w:spacing w:line="600" w:lineRule="exact"/>
        <w:ind w:firstLine="640" w:firstLineChars="200"/>
        <w:jc w:val="both"/>
        <w:rPr>
          <w:rFonts w:ascii="仿宋_GB2312" w:eastAsia="仿宋_GB2312"/>
          <w:color w:val="auto"/>
          <w:sz w:val="32"/>
          <w:szCs w:val="32"/>
        </w:rPr>
      </w:pPr>
      <w:r>
        <w:rPr>
          <w:rFonts w:hint="eastAsia" w:ascii="仿宋_GB2312" w:hAnsi="黑体" w:eastAsia="仿宋_GB2312" w:cs="黑体"/>
          <w:color w:val="auto"/>
          <w:sz w:val="32"/>
          <w:szCs w:val="32"/>
          <w:highlight w:val="none"/>
        </w:rPr>
        <w:t>第五条</w:t>
      </w:r>
      <w:r>
        <w:rPr>
          <w:rFonts w:hint="eastAsia" w:ascii="仿宋_GB2312" w:hAnsi="黑体" w:eastAsia="仿宋_GB2312" w:cs="黑体"/>
          <w:color w:val="auto"/>
          <w:sz w:val="32"/>
          <w:szCs w:val="32"/>
          <w:highlight w:val="none"/>
          <w:lang w:val="en-US" w:eastAsia="zh-CN"/>
        </w:rPr>
        <w:t xml:space="preserve"> </w:t>
      </w:r>
      <w:r>
        <w:rPr>
          <w:rFonts w:hint="eastAsia" w:ascii="仿宋_GB2312" w:eastAsia="仿宋_GB2312"/>
          <w:color w:val="auto"/>
          <w:sz w:val="32"/>
          <w:szCs w:val="32"/>
          <w:highlight w:val="none"/>
        </w:rPr>
        <w:t>单个项目</w:t>
      </w:r>
      <w:r>
        <w:rPr>
          <w:rFonts w:hint="eastAsia" w:ascii="仿宋_GB2312" w:eastAsia="仿宋_GB2312"/>
          <w:color w:val="auto"/>
          <w:sz w:val="32"/>
          <w:szCs w:val="32"/>
          <w:highlight w:val="none"/>
          <w:lang w:val="en-US" w:eastAsia="zh-CN"/>
        </w:rPr>
        <w:t>补助比例原则上</w:t>
      </w:r>
      <w:r>
        <w:rPr>
          <w:rFonts w:hint="eastAsia" w:ascii="仿宋_GB2312" w:eastAsia="仿宋_GB2312"/>
          <w:color w:val="auto"/>
          <w:sz w:val="32"/>
          <w:szCs w:val="32"/>
          <w:highlight w:val="none"/>
        </w:rPr>
        <w:t>不超过项目按本办法第十条核定投资的30%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其中，</w:t>
      </w:r>
      <w:r>
        <w:rPr>
          <w:rFonts w:hint="eastAsia" w:ascii="仿宋_GB2312" w:eastAsia="仿宋_GB2312"/>
          <w:color w:val="auto"/>
          <w:sz w:val="32"/>
          <w:szCs w:val="32"/>
          <w:highlight w:val="none"/>
          <w:lang w:eastAsia="zh-CN"/>
        </w:rPr>
        <w:t>省级储备粮仓储物流设施单个项目补助比例不高于项目按本办法第十条核定投资的70%，</w:t>
      </w:r>
      <w:r>
        <w:rPr>
          <w:rFonts w:hint="eastAsia" w:ascii="仿宋_GB2312" w:eastAsia="仿宋_GB2312"/>
          <w:color w:val="auto"/>
          <w:sz w:val="32"/>
          <w:szCs w:val="32"/>
          <w:highlight w:val="none"/>
        </w:rPr>
        <w:t>最高不超过</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000万元。</w:t>
      </w:r>
    </w:p>
    <w:p>
      <w:pPr>
        <w:pStyle w:val="9"/>
        <w:keepNext w:val="0"/>
        <w:keepLines w:val="0"/>
        <w:pageBreakBefore w:val="0"/>
        <w:widowControl w:val="0"/>
        <w:kinsoku/>
        <w:wordWrap/>
        <w:overflowPunct/>
        <w:topLinePunct w:val="0"/>
        <w:autoSpaceDE/>
        <w:autoSpaceDN/>
        <w:bidi w:val="0"/>
        <w:adjustRightInd/>
        <w:snapToGrid/>
        <w:spacing w:before="181" w:beforeLines="50" w:after="181" w:afterLines="50" w:line="600" w:lineRule="exact"/>
        <w:ind w:firstLine="0"/>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第三章</w:t>
      </w:r>
      <w:r>
        <w:rPr>
          <w:rFonts w:hint="eastAsia" w:ascii="方正黑体_GBK" w:hAnsi="方正黑体_GBK" w:eastAsia="方正黑体_GBK" w:cs="方正黑体_GBK"/>
          <w:color w:val="auto"/>
          <w:sz w:val="32"/>
          <w:szCs w:val="32"/>
          <w:lang w:val="en-US" w:eastAsia="zh-CN"/>
        </w:rPr>
        <w:t xml:space="preserve">  项目</w:t>
      </w:r>
      <w:r>
        <w:rPr>
          <w:rFonts w:hint="eastAsia" w:ascii="方正黑体_GBK" w:hAnsi="方正黑体_GBK" w:eastAsia="方正黑体_GBK" w:cs="方正黑体_GBK"/>
          <w:color w:val="auto"/>
          <w:sz w:val="32"/>
          <w:szCs w:val="32"/>
        </w:rPr>
        <w:t>申报</w:t>
      </w:r>
      <w:r>
        <w:rPr>
          <w:rFonts w:hint="eastAsia" w:ascii="方正黑体_GBK" w:hAnsi="方正黑体_GBK" w:eastAsia="方正黑体_GBK" w:cs="方正黑体_GBK"/>
          <w:color w:val="auto"/>
          <w:sz w:val="32"/>
          <w:szCs w:val="32"/>
          <w:lang w:val="en-US" w:eastAsia="zh-CN"/>
        </w:rPr>
        <w:t>审核</w:t>
      </w:r>
      <w:r>
        <w:rPr>
          <w:rFonts w:hint="eastAsia" w:ascii="方正黑体_GBK" w:hAnsi="方正黑体_GBK" w:eastAsia="方正黑体_GBK" w:cs="方正黑体_GBK"/>
          <w:color w:val="auto"/>
          <w:sz w:val="32"/>
          <w:szCs w:val="32"/>
        </w:rPr>
        <w:t>和计划下达</w:t>
      </w:r>
    </w:p>
    <w:p>
      <w:pPr>
        <w:pStyle w:val="9"/>
        <w:spacing w:line="600" w:lineRule="exact"/>
        <w:ind w:firstLine="640" w:firstLineChars="200"/>
        <w:jc w:val="both"/>
        <w:rPr>
          <w:rFonts w:ascii="仿宋_GB2312" w:eastAsia="仿宋_GB2312"/>
          <w:color w:val="auto"/>
          <w:sz w:val="32"/>
          <w:szCs w:val="32"/>
        </w:rPr>
      </w:pPr>
      <w:r>
        <w:rPr>
          <w:rFonts w:hint="eastAsia" w:ascii="仿宋_GB2312" w:hAnsi="黑体" w:eastAsia="仿宋_GB2312" w:cs="黑体"/>
          <w:color w:val="auto"/>
          <w:sz w:val="32"/>
          <w:szCs w:val="32"/>
        </w:rPr>
        <w:t>第六条</w:t>
      </w:r>
      <w:r>
        <w:rPr>
          <w:rFonts w:hint="eastAsia" w:ascii="仿宋_GB2312" w:hAnsi="黑体" w:eastAsia="仿宋_GB2312" w:cs="黑体"/>
          <w:color w:val="auto"/>
          <w:sz w:val="32"/>
          <w:szCs w:val="32"/>
          <w:lang w:val="en-US" w:eastAsia="zh-CN"/>
        </w:rPr>
        <w:t xml:space="preserve"> </w:t>
      </w:r>
      <w:r>
        <w:rPr>
          <w:rFonts w:hint="eastAsia" w:ascii="仿宋_GB2312" w:eastAsia="仿宋_GB2312"/>
          <w:color w:val="auto"/>
          <w:sz w:val="32"/>
          <w:szCs w:val="32"/>
        </w:rPr>
        <w:t>汇总申报单位根据</w:t>
      </w:r>
      <w:r>
        <w:rPr>
          <w:rFonts w:hint="eastAsia" w:ascii="仿宋_GB2312" w:eastAsia="仿宋_GB2312"/>
          <w:color w:val="auto"/>
          <w:sz w:val="32"/>
          <w:szCs w:val="32"/>
          <w:lang w:eastAsia="zh-CN"/>
        </w:rPr>
        <w:t>省发展改革委</w:t>
      </w:r>
      <w:r>
        <w:rPr>
          <w:rFonts w:hint="eastAsia" w:ascii="仿宋_GB2312" w:eastAsia="仿宋_GB2312"/>
          <w:color w:val="auto"/>
          <w:sz w:val="32"/>
          <w:szCs w:val="32"/>
          <w:lang w:val="en-US" w:eastAsia="zh-CN"/>
        </w:rPr>
        <w:t>有关工作</w:t>
      </w:r>
      <w:r>
        <w:rPr>
          <w:rFonts w:hint="eastAsia" w:ascii="仿宋_GB2312" w:eastAsia="仿宋_GB2312"/>
          <w:color w:val="auto"/>
          <w:sz w:val="32"/>
          <w:szCs w:val="32"/>
        </w:rPr>
        <w:t>要求，按照集中力量办大事、急事、难事</w:t>
      </w:r>
      <w:r>
        <w:rPr>
          <w:rFonts w:hint="eastAsia" w:ascii="仿宋_GB2312" w:eastAsia="仿宋_GB2312"/>
          <w:color w:val="auto"/>
          <w:sz w:val="32"/>
          <w:szCs w:val="32"/>
          <w:lang w:val="en-US" w:eastAsia="zh-CN"/>
        </w:rPr>
        <w:t>的</w:t>
      </w:r>
      <w:r>
        <w:rPr>
          <w:rFonts w:hint="eastAsia" w:ascii="仿宋_GB2312" w:eastAsia="仿宋_GB2312"/>
          <w:color w:val="auto"/>
          <w:sz w:val="32"/>
          <w:szCs w:val="32"/>
        </w:rPr>
        <w:t>原则，筛选符合本专项支持方向、各方面建设条件成熟的项目，</w:t>
      </w:r>
      <w:r>
        <w:rPr>
          <w:rFonts w:hint="eastAsia" w:ascii="仿宋_GB2312" w:eastAsia="仿宋_GB2312"/>
          <w:color w:val="auto"/>
          <w:sz w:val="32"/>
          <w:szCs w:val="32"/>
          <w:lang w:val="en-US" w:eastAsia="zh-CN"/>
        </w:rPr>
        <w:t>指导项目单位编制资金申请报告，并</w:t>
      </w:r>
      <w:r>
        <w:rPr>
          <w:rFonts w:hint="eastAsia" w:ascii="仿宋_GB2312" w:eastAsia="仿宋_GB2312"/>
          <w:color w:val="auto"/>
          <w:sz w:val="32"/>
          <w:szCs w:val="32"/>
        </w:rPr>
        <w:t>组织做好项目申报工作。</w:t>
      </w:r>
    </w:p>
    <w:p>
      <w:pPr>
        <w:pStyle w:val="9"/>
        <w:spacing w:line="600" w:lineRule="exact"/>
        <w:ind w:firstLine="640" w:firstLineChars="200"/>
        <w:jc w:val="both"/>
        <w:rPr>
          <w:rFonts w:ascii="仿宋_GB2312" w:eastAsia="仿宋_GB2312"/>
          <w:color w:val="auto"/>
          <w:sz w:val="32"/>
          <w:szCs w:val="32"/>
        </w:rPr>
      </w:pPr>
      <w:r>
        <w:rPr>
          <w:rFonts w:hint="eastAsia" w:ascii="仿宋_GB2312" w:hAnsi="黑体" w:eastAsia="仿宋_GB2312" w:cs="黑体"/>
          <w:color w:val="auto"/>
          <w:sz w:val="32"/>
          <w:szCs w:val="32"/>
        </w:rPr>
        <w:t>第七条</w:t>
      </w:r>
      <w:r>
        <w:rPr>
          <w:rFonts w:hint="eastAsia" w:ascii="仿宋_GB2312" w:hAnsi="黑体" w:eastAsia="仿宋_GB2312" w:cs="黑体"/>
          <w:color w:val="auto"/>
          <w:sz w:val="32"/>
          <w:szCs w:val="32"/>
          <w:lang w:val="en-US" w:eastAsia="zh-CN"/>
        </w:rPr>
        <w:t xml:space="preserve"> 市发展改革委、山西综改示范区</w:t>
      </w:r>
      <w:r>
        <w:rPr>
          <w:rFonts w:hint="eastAsia" w:ascii="仿宋_GB2312" w:eastAsia="仿宋_GB2312"/>
          <w:color w:val="auto"/>
          <w:sz w:val="32"/>
          <w:szCs w:val="32"/>
        </w:rPr>
        <w:t>应结合地方财政承受能力、政府投资能力和本地区建设需求合理申报投资计划。脱离当地实际、其他建设资金不落实、无法如期完工的不得申报。</w:t>
      </w:r>
    </w:p>
    <w:p>
      <w:pPr>
        <w:pStyle w:val="9"/>
        <w:spacing w:line="600" w:lineRule="exact"/>
        <w:ind w:firstLine="640" w:firstLineChars="200"/>
        <w:jc w:val="both"/>
        <w:rPr>
          <w:rFonts w:ascii="仿宋_GB2312" w:eastAsia="仿宋_GB2312"/>
          <w:color w:val="auto"/>
          <w:sz w:val="32"/>
          <w:szCs w:val="32"/>
        </w:rPr>
      </w:pPr>
      <w:r>
        <w:rPr>
          <w:rFonts w:hint="eastAsia" w:ascii="仿宋_GB2312" w:hAnsi="黑体" w:eastAsia="仿宋_GB2312" w:cs="黑体"/>
          <w:color w:val="auto"/>
          <w:sz w:val="32"/>
          <w:szCs w:val="32"/>
        </w:rPr>
        <w:t>第八条</w:t>
      </w:r>
      <w:r>
        <w:rPr>
          <w:rFonts w:hint="eastAsia" w:ascii="仿宋_GB2312" w:hAnsi="黑体" w:eastAsia="仿宋_GB2312" w:cs="黑体"/>
          <w:color w:val="auto"/>
          <w:sz w:val="32"/>
          <w:szCs w:val="32"/>
          <w:lang w:val="en-US" w:eastAsia="zh-CN"/>
        </w:rPr>
        <w:t xml:space="preserve"> </w:t>
      </w:r>
      <w:r>
        <w:rPr>
          <w:rFonts w:hint="eastAsia" w:ascii="仿宋_GB2312" w:eastAsia="仿宋_GB2312"/>
          <w:color w:val="auto"/>
          <w:sz w:val="32"/>
          <w:szCs w:val="32"/>
        </w:rPr>
        <w:t>项目汇总申报单位对拟申报项目进行严格审查，并对审查结果和申报材料的真实性、合规性负责。重点包括：</w:t>
      </w:r>
    </w:p>
    <w:p>
      <w:pPr>
        <w:pStyle w:val="9"/>
        <w:spacing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lang w:val="en-US" w:eastAsia="zh-CN"/>
        </w:rPr>
        <w:t>（一）</w:t>
      </w:r>
      <w:r>
        <w:rPr>
          <w:rFonts w:hint="eastAsia" w:ascii="仿宋_GB2312" w:eastAsia="仿宋_GB2312"/>
          <w:color w:val="auto"/>
          <w:sz w:val="32"/>
          <w:szCs w:val="32"/>
        </w:rPr>
        <w:t>申报项目是否符合支持范围；</w:t>
      </w:r>
    </w:p>
    <w:p>
      <w:pPr>
        <w:pStyle w:val="9"/>
        <w:spacing w:line="600" w:lineRule="exact"/>
        <w:ind w:firstLine="640" w:firstLineChars="200"/>
        <w:jc w:val="both"/>
        <w:rPr>
          <w:rFonts w:ascii="仿宋_GB2312" w:eastAsia="仿宋_GB2312"/>
          <w:color w:val="auto"/>
          <w:sz w:val="32"/>
          <w:szCs w:val="32"/>
        </w:rPr>
      </w:pPr>
      <w:bookmarkStart w:id="5" w:name="bookmark8"/>
      <w:r>
        <w:rPr>
          <w:rFonts w:hint="eastAsia" w:ascii="仿宋_GB2312" w:eastAsia="仿宋_GB2312"/>
          <w:color w:val="auto"/>
          <w:sz w:val="32"/>
          <w:szCs w:val="32"/>
        </w:rPr>
        <w:t>（</w:t>
      </w:r>
      <w:bookmarkEnd w:id="5"/>
      <w:r>
        <w:rPr>
          <w:rFonts w:hint="eastAsia" w:ascii="仿宋_GB2312" w:eastAsia="仿宋_GB2312"/>
          <w:color w:val="auto"/>
          <w:sz w:val="32"/>
          <w:szCs w:val="32"/>
        </w:rPr>
        <w:t>二）是否获得其他</w:t>
      </w:r>
      <w:r>
        <w:rPr>
          <w:rFonts w:hint="eastAsia" w:ascii="仿宋_GB2312" w:eastAsia="仿宋_GB2312"/>
          <w:color w:val="auto"/>
          <w:sz w:val="32"/>
          <w:szCs w:val="32"/>
          <w:lang w:eastAsia="zh-CN"/>
        </w:rPr>
        <w:t>省级财政性资金</w:t>
      </w:r>
      <w:r>
        <w:rPr>
          <w:rFonts w:hint="eastAsia" w:ascii="仿宋_GB2312" w:eastAsia="仿宋_GB2312"/>
          <w:color w:val="auto"/>
          <w:sz w:val="32"/>
          <w:szCs w:val="32"/>
        </w:rPr>
        <w:t>；</w:t>
      </w:r>
    </w:p>
    <w:p>
      <w:pPr>
        <w:pStyle w:val="9"/>
        <w:spacing w:line="600" w:lineRule="exact"/>
        <w:ind w:firstLine="640" w:firstLineChars="200"/>
        <w:jc w:val="both"/>
        <w:rPr>
          <w:rFonts w:ascii="仿宋_GB2312" w:eastAsia="仿宋_GB2312"/>
          <w:color w:val="auto"/>
          <w:sz w:val="32"/>
          <w:szCs w:val="32"/>
        </w:rPr>
      </w:pPr>
      <w:bookmarkStart w:id="6" w:name="bookmark9"/>
      <w:r>
        <w:rPr>
          <w:rFonts w:hint="eastAsia" w:ascii="仿宋_GB2312" w:eastAsia="仿宋_GB2312"/>
          <w:color w:val="auto"/>
          <w:sz w:val="32"/>
          <w:szCs w:val="32"/>
        </w:rPr>
        <w:t>（</w:t>
      </w:r>
      <w:bookmarkEnd w:id="6"/>
      <w:r>
        <w:rPr>
          <w:rFonts w:hint="eastAsia" w:ascii="仿宋_GB2312" w:eastAsia="仿宋_GB2312"/>
          <w:color w:val="auto"/>
          <w:sz w:val="32"/>
          <w:szCs w:val="32"/>
        </w:rPr>
        <w:t>三）项目单位是否被依法列入严重失信主体名单；</w:t>
      </w:r>
    </w:p>
    <w:p>
      <w:pPr>
        <w:pStyle w:val="9"/>
        <w:spacing w:line="600" w:lineRule="exact"/>
        <w:ind w:firstLine="640" w:firstLineChars="200"/>
        <w:jc w:val="both"/>
        <w:rPr>
          <w:rFonts w:ascii="仿宋_GB2312" w:eastAsia="仿宋_GB2312"/>
          <w:color w:val="auto"/>
          <w:sz w:val="32"/>
          <w:szCs w:val="32"/>
        </w:rPr>
      </w:pPr>
      <w:bookmarkStart w:id="7" w:name="bookmark10"/>
      <w:r>
        <w:rPr>
          <w:rFonts w:hint="eastAsia" w:ascii="仿宋_GB2312" w:eastAsia="仿宋_GB2312"/>
          <w:color w:val="auto"/>
          <w:sz w:val="32"/>
          <w:szCs w:val="32"/>
        </w:rPr>
        <w:t>（</w:t>
      </w:r>
      <w:bookmarkEnd w:id="7"/>
      <w:r>
        <w:rPr>
          <w:rFonts w:hint="eastAsia" w:ascii="仿宋_GB2312" w:eastAsia="仿宋_GB2312"/>
          <w:color w:val="auto"/>
          <w:sz w:val="32"/>
          <w:szCs w:val="32"/>
        </w:rPr>
        <w:t>四）项目是否完成审批（核准、备案）和相关前期手续；</w:t>
      </w:r>
    </w:p>
    <w:p>
      <w:pPr>
        <w:pStyle w:val="9"/>
        <w:spacing w:line="600" w:lineRule="exact"/>
        <w:ind w:firstLine="640" w:firstLineChars="200"/>
        <w:jc w:val="both"/>
        <w:rPr>
          <w:rFonts w:ascii="仿宋_GB2312" w:eastAsia="仿宋_GB2312"/>
          <w:color w:val="auto"/>
          <w:sz w:val="32"/>
          <w:szCs w:val="32"/>
        </w:rPr>
      </w:pPr>
      <w:bookmarkStart w:id="8" w:name="bookmark12"/>
      <w:r>
        <w:rPr>
          <w:rFonts w:hint="eastAsia" w:ascii="仿宋_GB2312" w:eastAsia="仿宋_GB2312"/>
          <w:color w:val="auto"/>
          <w:sz w:val="32"/>
          <w:szCs w:val="32"/>
        </w:rPr>
        <w:t>（</w:t>
      </w:r>
      <w:bookmarkEnd w:id="8"/>
      <w:r>
        <w:rPr>
          <w:rFonts w:hint="eastAsia" w:ascii="仿宋_GB2312" w:eastAsia="仿宋_GB2312"/>
          <w:color w:val="auto"/>
          <w:sz w:val="32"/>
          <w:szCs w:val="32"/>
          <w:lang w:val="en-US" w:eastAsia="zh-CN"/>
        </w:rPr>
        <w:t>五</w:t>
      </w:r>
      <w:r>
        <w:rPr>
          <w:rFonts w:hint="eastAsia" w:ascii="仿宋_GB2312" w:eastAsia="仿宋_GB2312"/>
          <w:color w:val="auto"/>
          <w:sz w:val="32"/>
          <w:szCs w:val="32"/>
        </w:rPr>
        <w:t>）项目是否落实除拟申请本专项之外的其他资金；</w:t>
      </w:r>
    </w:p>
    <w:p>
      <w:pPr>
        <w:pStyle w:val="9"/>
        <w:spacing w:line="600" w:lineRule="exact"/>
        <w:ind w:firstLine="640" w:firstLineChars="200"/>
        <w:jc w:val="both"/>
        <w:rPr>
          <w:rFonts w:hint="eastAsia" w:ascii="仿宋_GB2312" w:eastAsia="仿宋_GB2312"/>
          <w:color w:val="auto"/>
          <w:sz w:val="32"/>
          <w:szCs w:val="32"/>
        </w:rPr>
      </w:pPr>
      <w:bookmarkStart w:id="9" w:name="bookmark14"/>
      <w:r>
        <w:rPr>
          <w:rFonts w:hint="eastAsia" w:ascii="仿宋_GB2312" w:eastAsia="仿宋_GB2312"/>
          <w:color w:val="auto"/>
          <w:sz w:val="32"/>
          <w:szCs w:val="32"/>
        </w:rPr>
        <w:t>（</w:t>
      </w:r>
      <w:bookmarkEnd w:id="9"/>
      <w:r>
        <w:rPr>
          <w:rFonts w:hint="eastAsia" w:ascii="仿宋_GB2312" w:eastAsia="仿宋_GB2312"/>
          <w:color w:val="auto"/>
          <w:sz w:val="32"/>
          <w:szCs w:val="32"/>
          <w:lang w:val="en-US" w:eastAsia="zh-CN"/>
        </w:rPr>
        <w:t>六</w:t>
      </w:r>
      <w:r>
        <w:rPr>
          <w:rFonts w:hint="eastAsia" w:ascii="仿宋_GB2312" w:eastAsia="仿宋_GB2312"/>
          <w:color w:val="auto"/>
          <w:sz w:val="32"/>
          <w:szCs w:val="32"/>
        </w:rPr>
        <w:t>）对</w:t>
      </w:r>
      <w:r>
        <w:rPr>
          <w:rFonts w:hint="eastAsia" w:ascii="仿宋_GB2312" w:eastAsia="仿宋_GB2312"/>
          <w:color w:val="auto"/>
          <w:sz w:val="32"/>
          <w:szCs w:val="32"/>
          <w:lang w:val="en-US" w:eastAsia="zh-CN"/>
        </w:rPr>
        <w:t>拟新建</w:t>
      </w:r>
      <w:r>
        <w:rPr>
          <w:rFonts w:hint="eastAsia" w:ascii="仿宋_GB2312" w:eastAsia="仿宋_GB2312"/>
          <w:color w:val="auto"/>
          <w:sz w:val="32"/>
          <w:szCs w:val="32"/>
        </w:rPr>
        <w:t>项目，要重点审核前期工作条件是否成熟，确保如期开工建设；对</w:t>
      </w:r>
      <w:r>
        <w:rPr>
          <w:rFonts w:hint="eastAsia" w:ascii="仿宋_GB2312" w:eastAsia="仿宋_GB2312"/>
          <w:color w:val="auto"/>
          <w:sz w:val="32"/>
          <w:szCs w:val="32"/>
          <w:lang w:val="en-US" w:eastAsia="zh-CN"/>
        </w:rPr>
        <w:t>已开工</w:t>
      </w:r>
      <w:r>
        <w:rPr>
          <w:rFonts w:hint="eastAsia" w:ascii="仿宋_GB2312" w:eastAsia="仿宋_GB2312"/>
          <w:color w:val="auto"/>
          <w:sz w:val="32"/>
          <w:szCs w:val="32"/>
        </w:rPr>
        <w:t>项目，要重点审核各项建设手续是否完备。</w:t>
      </w:r>
    </w:p>
    <w:p>
      <w:pPr>
        <w:pStyle w:val="9"/>
        <w:spacing w:line="600" w:lineRule="exact"/>
        <w:ind w:firstLine="600"/>
        <w:jc w:val="both"/>
        <w:rPr>
          <w:rFonts w:ascii="仿宋_GB2312" w:eastAsia="仿宋_GB2312"/>
          <w:color w:val="auto"/>
          <w:sz w:val="32"/>
          <w:szCs w:val="32"/>
        </w:rPr>
      </w:pPr>
      <w:r>
        <w:rPr>
          <w:rFonts w:hint="eastAsia" w:ascii="仿宋_GB2312" w:hAnsi="黑体" w:eastAsia="仿宋_GB2312" w:cs="黑体"/>
          <w:color w:val="auto"/>
          <w:sz w:val="32"/>
          <w:szCs w:val="32"/>
        </w:rPr>
        <w:t>第</w:t>
      </w:r>
      <w:r>
        <w:rPr>
          <w:rFonts w:hint="eastAsia" w:ascii="仿宋_GB2312" w:hAnsi="黑体" w:eastAsia="仿宋_GB2312" w:cs="黑体"/>
          <w:color w:val="auto"/>
          <w:sz w:val="32"/>
          <w:szCs w:val="32"/>
          <w:lang w:val="en-US" w:eastAsia="zh-CN"/>
        </w:rPr>
        <w:t>九</w:t>
      </w:r>
      <w:r>
        <w:rPr>
          <w:rFonts w:hint="eastAsia" w:ascii="仿宋_GB2312" w:hAnsi="黑体" w:eastAsia="仿宋_GB2312" w:cs="黑体"/>
          <w:color w:val="auto"/>
          <w:sz w:val="32"/>
          <w:szCs w:val="32"/>
        </w:rPr>
        <w:t>条</w:t>
      </w:r>
      <w:r>
        <w:rPr>
          <w:rFonts w:hint="eastAsia" w:ascii="仿宋_GB2312" w:hAnsi="黑体" w:eastAsia="仿宋_GB2312" w:cs="黑体"/>
          <w:color w:val="auto"/>
          <w:sz w:val="32"/>
          <w:szCs w:val="32"/>
          <w:lang w:val="en-US" w:eastAsia="zh-CN"/>
        </w:rPr>
        <w:t xml:space="preserve"> </w:t>
      </w:r>
      <w:r>
        <w:rPr>
          <w:rFonts w:hint="eastAsia" w:ascii="仿宋_GB2312" w:eastAsia="仿宋_GB2312"/>
          <w:color w:val="auto"/>
          <w:sz w:val="32"/>
          <w:szCs w:val="32"/>
        </w:rPr>
        <w:t>汇总申报单位应在本专项当年投资计划申报时限内，及时向</w:t>
      </w:r>
      <w:r>
        <w:rPr>
          <w:rFonts w:hint="eastAsia" w:ascii="仿宋_GB2312" w:eastAsia="仿宋_GB2312"/>
          <w:color w:val="auto"/>
          <w:sz w:val="32"/>
          <w:szCs w:val="32"/>
          <w:lang w:val="en-US" w:eastAsia="zh-CN"/>
        </w:rPr>
        <w:t>省</w:t>
      </w:r>
      <w:r>
        <w:rPr>
          <w:rFonts w:hint="eastAsia" w:ascii="仿宋_GB2312" w:eastAsia="仿宋_GB2312"/>
          <w:color w:val="auto"/>
          <w:sz w:val="32"/>
          <w:szCs w:val="32"/>
        </w:rPr>
        <w:t>发展改革委报送项目申报请示文件和资金申请报告。请示文件中应明确每个项目的项目单位</w:t>
      </w:r>
      <w:r>
        <w:rPr>
          <w:rFonts w:hint="eastAsia" w:ascii="仿宋_GB2312" w:eastAsia="仿宋_GB2312"/>
          <w:color w:val="auto"/>
          <w:sz w:val="32"/>
          <w:szCs w:val="32"/>
          <w:lang w:eastAsia="zh-CN"/>
        </w:rPr>
        <w:t>（</w:t>
      </w:r>
      <w:r>
        <w:rPr>
          <w:rFonts w:hint="eastAsia" w:ascii="仿宋_GB2312" w:eastAsia="仿宋_GB2312"/>
          <w:color w:val="auto"/>
          <w:sz w:val="32"/>
          <w:szCs w:val="32"/>
        </w:rPr>
        <w:t>法人</w:t>
      </w:r>
      <w:r>
        <w:rPr>
          <w:rFonts w:hint="eastAsia" w:ascii="仿宋_GB2312" w:eastAsia="仿宋_GB2312"/>
          <w:color w:val="auto"/>
          <w:sz w:val="32"/>
          <w:szCs w:val="32"/>
          <w:lang w:eastAsia="zh-CN"/>
        </w:rPr>
        <w:t>）</w:t>
      </w:r>
      <w:r>
        <w:rPr>
          <w:rFonts w:hint="eastAsia" w:ascii="仿宋_GB2312" w:eastAsia="仿宋_GB2312"/>
          <w:color w:val="auto"/>
          <w:sz w:val="32"/>
          <w:szCs w:val="32"/>
        </w:rPr>
        <w:t>和项目责任人、日常监管直接责任单位和监管责任人。其中，日常监管直接责任单位原则上是项目直接管理单位（对项目单位财务或人事管理行使管理职责的上一级单位），没有直接管理单位的则为当地行业主管部门。监管责任人由日常监管直接责任单位派出，是日常监管的直接责任人。日常监管直接责任单位及监管责任人对项目申报、建设管理、信息报送等履行日常监管职责。</w:t>
      </w:r>
    </w:p>
    <w:p>
      <w:pPr>
        <w:pStyle w:val="9"/>
        <w:spacing w:line="600" w:lineRule="exact"/>
        <w:ind w:firstLine="600"/>
        <w:jc w:val="both"/>
        <w:rPr>
          <w:rFonts w:ascii="仿宋_GB2312" w:eastAsia="仿宋_GB2312"/>
          <w:color w:val="auto"/>
          <w:sz w:val="32"/>
          <w:szCs w:val="32"/>
        </w:rPr>
      </w:pPr>
      <w:r>
        <w:rPr>
          <w:rFonts w:hint="eastAsia" w:ascii="仿宋_GB2312" w:hAnsi="黑体" w:eastAsia="仿宋_GB2312" w:cs="黑体"/>
          <w:color w:val="auto"/>
          <w:sz w:val="32"/>
          <w:szCs w:val="32"/>
        </w:rPr>
        <w:t>第十条</w:t>
      </w:r>
      <w:r>
        <w:rPr>
          <w:rFonts w:hint="eastAsia" w:ascii="仿宋_GB2312" w:hAnsi="黑体" w:eastAsia="仿宋_GB2312" w:cs="黑体"/>
          <w:color w:val="auto"/>
          <w:sz w:val="32"/>
          <w:szCs w:val="32"/>
          <w:lang w:val="en-US" w:eastAsia="zh-CN"/>
        </w:rPr>
        <w:t xml:space="preserve"> </w:t>
      </w:r>
      <w:r>
        <w:rPr>
          <w:rFonts w:hint="eastAsia" w:ascii="仿宋_GB2312" w:eastAsia="仿宋_GB2312"/>
          <w:color w:val="auto"/>
          <w:sz w:val="32"/>
          <w:szCs w:val="32"/>
          <w:lang w:eastAsia="zh-CN"/>
        </w:rPr>
        <w:t>省发展改革委</w:t>
      </w:r>
      <w:r>
        <w:rPr>
          <w:rFonts w:hint="eastAsia" w:ascii="仿宋_GB2312" w:eastAsia="仿宋_GB2312"/>
          <w:color w:val="auto"/>
          <w:sz w:val="32"/>
          <w:szCs w:val="32"/>
        </w:rPr>
        <w:t>组织专家对汇总申报单位报送的材料进行评审，核定符合本专项支持范围的投资规模</w:t>
      </w:r>
      <w:r>
        <w:rPr>
          <w:rFonts w:hint="eastAsia" w:ascii="仿宋_GB2312" w:eastAsia="仿宋_GB2312"/>
          <w:color w:val="auto"/>
          <w:sz w:val="32"/>
          <w:szCs w:val="32"/>
          <w:lang w:eastAsia="zh-CN"/>
        </w:rPr>
        <w:t>，并结合行业主管部门意见，</w:t>
      </w:r>
      <w:r>
        <w:rPr>
          <w:rFonts w:hint="eastAsia" w:ascii="仿宋_GB2312" w:eastAsia="仿宋_GB2312"/>
          <w:color w:val="auto"/>
          <w:sz w:val="32"/>
          <w:szCs w:val="32"/>
          <w:lang w:val="en-US" w:eastAsia="zh-CN"/>
        </w:rPr>
        <w:t>以及</w:t>
      </w:r>
      <w:r>
        <w:rPr>
          <w:rFonts w:hint="eastAsia" w:ascii="仿宋_GB2312" w:eastAsia="仿宋_GB2312"/>
          <w:color w:val="auto"/>
          <w:sz w:val="32"/>
          <w:szCs w:val="32"/>
        </w:rPr>
        <w:t>上年度项目管理、监督检查、审计等情况，统筹平衡后研究形成年度</w:t>
      </w:r>
      <w:r>
        <w:rPr>
          <w:rFonts w:hint="eastAsia" w:ascii="仿宋_GB2312" w:eastAsia="仿宋_GB2312"/>
          <w:color w:val="auto"/>
          <w:sz w:val="32"/>
          <w:szCs w:val="32"/>
          <w:lang w:val="en-US" w:eastAsia="zh-CN"/>
        </w:rPr>
        <w:t>省级基本建设投资</w:t>
      </w:r>
      <w:r>
        <w:rPr>
          <w:rFonts w:hint="eastAsia" w:ascii="仿宋_GB2312" w:eastAsia="仿宋_GB2312"/>
          <w:color w:val="auto"/>
          <w:sz w:val="32"/>
          <w:szCs w:val="32"/>
        </w:rPr>
        <w:t>计划和绩效目标。本专项投资计划安排到具体项目。</w:t>
      </w:r>
    </w:p>
    <w:p>
      <w:pPr>
        <w:pStyle w:val="9"/>
        <w:spacing w:line="600" w:lineRule="exact"/>
        <w:ind w:firstLine="600"/>
        <w:jc w:val="both"/>
        <w:rPr>
          <w:rFonts w:ascii="仿宋_GB2312" w:eastAsia="仿宋_GB2312"/>
          <w:color w:val="auto"/>
          <w:sz w:val="32"/>
          <w:szCs w:val="32"/>
        </w:rPr>
      </w:pPr>
      <w:r>
        <w:rPr>
          <w:rFonts w:hint="eastAsia" w:ascii="仿宋_GB2312" w:hAnsi="黑体" w:eastAsia="仿宋_GB2312" w:cs="黑体"/>
          <w:color w:val="auto"/>
          <w:sz w:val="32"/>
          <w:szCs w:val="32"/>
        </w:rPr>
        <w:t>第十</w:t>
      </w:r>
      <w:r>
        <w:rPr>
          <w:rFonts w:hint="eastAsia" w:ascii="仿宋_GB2312" w:hAnsi="黑体" w:eastAsia="仿宋_GB2312" w:cs="黑体"/>
          <w:color w:val="auto"/>
          <w:sz w:val="32"/>
          <w:szCs w:val="32"/>
          <w:lang w:val="en-US" w:eastAsia="zh-CN"/>
        </w:rPr>
        <w:t>一</w:t>
      </w:r>
      <w:r>
        <w:rPr>
          <w:rFonts w:hint="eastAsia" w:ascii="仿宋_GB2312" w:hAnsi="黑体" w:eastAsia="仿宋_GB2312" w:cs="黑体"/>
          <w:color w:val="auto"/>
          <w:sz w:val="32"/>
          <w:szCs w:val="32"/>
        </w:rPr>
        <w:t>条</w:t>
      </w:r>
      <w:r>
        <w:rPr>
          <w:rFonts w:hint="eastAsia" w:ascii="仿宋_GB2312" w:hAnsi="黑体" w:eastAsia="仿宋_GB2312" w:cs="黑体"/>
          <w:color w:val="auto"/>
          <w:sz w:val="32"/>
          <w:szCs w:val="32"/>
          <w:lang w:val="en-US" w:eastAsia="zh-CN"/>
        </w:rPr>
        <w:t xml:space="preserve"> 汇总申报单位</w:t>
      </w:r>
      <w:r>
        <w:rPr>
          <w:rFonts w:hint="eastAsia" w:ascii="仿宋_GB2312" w:eastAsia="仿宋_GB2312"/>
          <w:color w:val="auto"/>
          <w:sz w:val="32"/>
          <w:szCs w:val="32"/>
        </w:rPr>
        <w:t>收到年度</w:t>
      </w:r>
      <w:r>
        <w:rPr>
          <w:rFonts w:hint="eastAsia" w:ascii="仿宋_GB2312" w:eastAsia="仿宋_GB2312"/>
          <w:color w:val="auto"/>
          <w:sz w:val="32"/>
          <w:szCs w:val="32"/>
          <w:lang w:val="en-US" w:eastAsia="zh-CN"/>
        </w:rPr>
        <w:t>省级基本建设</w:t>
      </w:r>
      <w:r>
        <w:rPr>
          <w:rFonts w:hint="eastAsia" w:ascii="仿宋_GB2312" w:eastAsia="仿宋_GB2312"/>
          <w:color w:val="auto"/>
          <w:sz w:val="32"/>
          <w:szCs w:val="32"/>
        </w:rPr>
        <w:t>投资计划和绩效目标后，</w:t>
      </w:r>
      <w:r>
        <w:rPr>
          <w:rFonts w:hint="eastAsia" w:ascii="仿宋_GB2312" w:eastAsia="仿宋_GB2312"/>
          <w:color w:val="auto"/>
          <w:sz w:val="32"/>
          <w:szCs w:val="32"/>
          <w:lang w:val="en-US" w:eastAsia="zh-CN"/>
        </w:rPr>
        <w:t>应按照规定时限</w:t>
      </w:r>
      <w:r>
        <w:rPr>
          <w:rFonts w:hint="eastAsia" w:ascii="仿宋_GB2312" w:eastAsia="仿宋_GB2312"/>
          <w:color w:val="auto"/>
          <w:sz w:val="32"/>
          <w:szCs w:val="32"/>
        </w:rPr>
        <w:t>转发</w:t>
      </w:r>
      <w:r>
        <w:rPr>
          <w:rFonts w:hint="eastAsia" w:ascii="仿宋_GB2312" w:eastAsia="仿宋_GB2312"/>
          <w:color w:val="auto"/>
          <w:sz w:val="32"/>
          <w:szCs w:val="32"/>
          <w:lang w:val="en-US" w:eastAsia="zh-CN"/>
        </w:rPr>
        <w:t>下达</w:t>
      </w:r>
      <w:r>
        <w:rPr>
          <w:rFonts w:hint="eastAsia" w:ascii="仿宋_GB2312" w:eastAsia="仿宋_GB2312"/>
          <w:color w:val="auto"/>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before="181" w:beforeLines="50" w:after="181" w:afterLines="50" w:line="600" w:lineRule="exact"/>
        <w:ind w:firstLine="0"/>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第四章</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项目管理和监督检查</w:t>
      </w:r>
    </w:p>
    <w:p>
      <w:pPr>
        <w:pStyle w:val="9"/>
        <w:spacing w:line="600" w:lineRule="exact"/>
        <w:ind w:firstLine="600"/>
        <w:jc w:val="both"/>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第十</w:t>
      </w:r>
      <w:r>
        <w:rPr>
          <w:rFonts w:hint="eastAsia" w:ascii="仿宋_GB2312" w:hAnsi="黑体" w:eastAsia="仿宋_GB2312" w:cs="黑体"/>
          <w:color w:val="auto"/>
          <w:sz w:val="32"/>
          <w:szCs w:val="32"/>
          <w:lang w:val="en-US" w:eastAsia="zh-CN"/>
        </w:rPr>
        <w:t>二</w:t>
      </w:r>
      <w:r>
        <w:rPr>
          <w:rFonts w:hint="eastAsia" w:ascii="仿宋_GB2312" w:hAnsi="黑体" w:eastAsia="仿宋_GB2312" w:cs="黑体"/>
          <w:color w:val="auto"/>
          <w:sz w:val="32"/>
          <w:szCs w:val="32"/>
        </w:rPr>
        <w:t>条</w:t>
      </w:r>
      <w:r>
        <w:rPr>
          <w:rFonts w:hint="eastAsia" w:ascii="仿宋_GB2312" w:hAnsi="黑体" w:eastAsia="仿宋_GB2312" w:cs="黑体"/>
          <w:color w:val="auto"/>
          <w:sz w:val="32"/>
          <w:szCs w:val="32"/>
          <w:lang w:val="en-US" w:eastAsia="zh-CN"/>
        </w:rPr>
        <w:t xml:space="preserve"> </w:t>
      </w:r>
      <w:r>
        <w:rPr>
          <w:rFonts w:hint="eastAsia" w:ascii="仿宋_GB2312" w:eastAsia="仿宋_GB2312"/>
          <w:color w:val="auto"/>
          <w:sz w:val="32"/>
          <w:szCs w:val="32"/>
          <w:lang w:val="en-US" w:eastAsia="zh-CN"/>
        </w:rPr>
        <w:t>省级基本建设资金</w:t>
      </w:r>
      <w:r>
        <w:rPr>
          <w:rFonts w:hint="eastAsia" w:ascii="仿宋_GB2312" w:eastAsia="仿宋_GB2312"/>
          <w:color w:val="auto"/>
          <w:sz w:val="32"/>
          <w:szCs w:val="32"/>
        </w:rPr>
        <w:t>支持项目的财务管理按照财政部门有关管理规定执行。除</w:t>
      </w:r>
      <w:r>
        <w:rPr>
          <w:rFonts w:hint="eastAsia" w:ascii="仿宋_GB2312" w:eastAsia="仿宋_GB2312"/>
          <w:color w:val="auto"/>
          <w:sz w:val="32"/>
          <w:szCs w:val="32"/>
          <w:lang w:eastAsia="zh-CN"/>
        </w:rPr>
        <w:t>省级</w:t>
      </w:r>
      <w:r>
        <w:rPr>
          <w:rFonts w:hint="eastAsia" w:ascii="仿宋_GB2312" w:eastAsia="仿宋_GB2312"/>
          <w:color w:val="auto"/>
          <w:sz w:val="32"/>
          <w:szCs w:val="32"/>
        </w:rPr>
        <w:t>预算</w:t>
      </w:r>
      <w:r>
        <w:rPr>
          <w:rFonts w:hint="eastAsia" w:ascii="仿宋_GB2312" w:eastAsia="仿宋_GB2312"/>
          <w:color w:val="auto"/>
          <w:sz w:val="32"/>
          <w:szCs w:val="32"/>
          <w:lang w:eastAsia="zh-CN"/>
        </w:rPr>
        <w:t>内</w:t>
      </w:r>
      <w:r>
        <w:rPr>
          <w:rFonts w:hint="eastAsia" w:ascii="仿宋_GB2312" w:eastAsia="仿宋_GB2312"/>
          <w:color w:val="auto"/>
          <w:sz w:val="32"/>
          <w:szCs w:val="32"/>
        </w:rPr>
        <w:t>投资支持之外的项目建设所需其他资金，应及时足额到位。项目汇总申报单位要配合有关部门做好资金拨付工作，确保</w:t>
      </w:r>
      <w:r>
        <w:rPr>
          <w:rFonts w:hint="eastAsia" w:ascii="仿宋_GB2312" w:eastAsia="仿宋_GB2312"/>
          <w:color w:val="auto"/>
          <w:sz w:val="32"/>
          <w:szCs w:val="32"/>
          <w:lang w:eastAsia="zh-CN"/>
        </w:rPr>
        <w:t>省级</w:t>
      </w:r>
      <w:r>
        <w:rPr>
          <w:rFonts w:hint="eastAsia" w:ascii="仿宋_GB2312" w:eastAsia="仿宋_GB2312"/>
          <w:color w:val="auto"/>
          <w:sz w:val="32"/>
          <w:szCs w:val="32"/>
        </w:rPr>
        <w:t>预算</w:t>
      </w:r>
      <w:r>
        <w:rPr>
          <w:rFonts w:hint="eastAsia" w:ascii="仿宋_GB2312" w:eastAsia="仿宋_GB2312"/>
          <w:color w:val="auto"/>
          <w:sz w:val="32"/>
          <w:szCs w:val="32"/>
          <w:lang w:eastAsia="zh-CN"/>
        </w:rPr>
        <w:t>内</w:t>
      </w:r>
      <w:r>
        <w:rPr>
          <w:rFonts w:hint="eastAsia" w:ascii="仿宋_GB2312" w:eastAsia="仿宋_GB2312"/>
          <w:color w:val="auto"/>
          <w:sz w:val="32"/>
          <w:szCs w:val="32"/>
        </w:rPr>
        <w:t>投资和其他资金按期拨付。严禁转移、侵占或者挪用</w:t>
      </w:r>
      <w:r>
        <w:rPr>
          <w:rFonts w:hint="eastAsia" w:ascii="仿宋_GB2312" w:eastAsia="仿宋_GB2312"/>
          <w:color w:val="auto"/>
          <w:sz w:val="32"/>
          <w:szCs w:val="32"/>
          <w:lang w:eastAsia="zh-CN"/>
        </w:rPr>
        <w:t>省级</w:t>
      </w:r>
      <w:r>
        <w:rPr>
          <w:rFonts w:hint="eastAsia" w:ascii="仿宋_GB2312" w:eastAsia="仿宋_GB2312"/>
          <w:color w:val="auto"/>
          <w:sz w:val="32"/>
          <w:szCs w:val="32"/>
        </w:rPr>
        <w:t>预算</w:t>
      </w:r>
      <w:r>
        <w:rPr>
          <w:rFonts w:hint="eastAsia" w:ascii="仿宋_GB2312" w:eastAsia="仿宋_GB2312"/>
          <w:color w:val="auto"/>
          <w:sz w:val="32"/>
          <w:szCs w:val="32"/>
          <w:lang w:eastAsia="zh-CN"/>
        </w:rPr>
        <w:t>内</w:t>
      </w:r>
      <w:r>
        <w:rPr>
          <w:rFonts w:hint="eastAsia" w:ascii="仿宋_GB2312" w:eastAsia="仿宋_GB2312"/>
          <w:color w:val="auto"/>
          <w:sz w:val="32"/>
          <w:szCs w:val="32"/>
        </w:rPr>
        <w:t>投资。</w:t>
      </w:r>
    </w:p>
    <w:p>
      <w:pPr>
        <w:pStyle w:val="9"/>
        <w:spacing w:line="600" w:lineRule="exact"/>
        <w:ind w:firstLine="600"/>
        <w:jc w:val="both"/>
        <w:rPr>
          <w:rFonts w:ascii="仿宋_GB2312" w:eastAsia="仿宋_GB2312"/>
          <w:color w:val="auto"/>
          <w:sz w:val="32"/>
          <w:szCs w:val="32"/>
        </w:rPr>
      </w:pPr>
      <w:r>
        <w:rPr>
          <w:rFonts w:hint="eastAsia" w:ascii="仿宋_GB2312" w:hAnsi="黑体" w:eastAsia="仿宋_GB2312" w:cs="黑体"/>
          <w:color w:val="auto"/>
          <w:sz w:val="32"/>
          <w:szCs w:val="32"/>
        </w:rPr>
        <w:t>第十</w:t>
      </w:r>
      <w:r>
        <w:rPr>
          <w:rFonts w:hint="eastAsia" w:ascii="仿宋_GB2312" w:hAnsi="黑体" w:eastAsia="仿宋_GB2312" w:cs="黑体"/>
          <w:color w:val="auto"/>
          <w:sz w:val="32"/>
          <w:szCs w:val="32"/>
          <w:lang w:val="en-US" w:eastAsia="zh-CN"/>
        </w:rPr>
        <w:t>三</w:t>
      </w:r>
      <w:r>
        <w:rPr>
          <w:rFonts w:hint="eastAsia" w:ascii="仿宋_GB2312" w:hAnsi="黑体" w:eastAsia="仿宋_GB2312" w:cs="黑体"/>
          <w:color w:val="auto"/>
          <w:sz w:val="32"/>
          <w:szCs w:val="32"/>
        </w:rPr>
        <w:t>条</w:t>
      </w:r>
      <w:r>
        <w:rPr>
          <w:rFonts w:hint="eastAsia" w:ascii="仿宋_GB2312" w:hAnsi="黑体" w:eastAsia="仿宋_GB2312" w:cs="黑体"/>
          <w:color w:val="auto"/>
          <w:sz w:val="32"/>
          <w:szCs w:val="32"/>
          <w:lang w:val="en-US" w:eastAsia="zh-CN"/>
        </w:rPr>
        <w:t xml:space="preserve"> </w:t>
      </w:r>
      <w:r>
        <w:rPr>
          <w:rFonts w:hint="eastAsia" w:ascii="仿宋_GB2312" w:eastAsia="仿宋_GB2312"/>
          <w:color w:val="auto"/>
          <w:sz w:val="32"/>
          <w:szCs w:val="32"/>
        </w:rPr>
        <w:t>项目汇总申报单位应组织有关部门和项目单位，通过自查、现场督察、在线监管等多种方式，加大对前期工作程序、转发计划、项目落地实施、地方建设投资落实、计划执行进度等关键环节</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以</w:t>
      </w:r>
      <w:r>
        <w:rPr>
          <w:rFonts w:hint="eastAsia" w:ascii="仿宋_GB2312" w:eastAsia="仿宋_GB2312"/>
          <w:color w:val="auto"/>
          <w:sz w:val="32"/>
          <w:szCs w:val="32"/>
        </w:rPr>
        <w:t>及绩效目标执行情况的监督检查力度。协调解决项目建设中存在的问题，加快项目建设进度，确保项目建设质量。要切实履行信息填报、管理督导责任，督促项目单位及时填报项目实施进展情况，加强数据审核，确保数据准确。</w:t>
      </w:r>
    </w:p>
    <w:p>
      <w:pPr>
        <w:pStyle w:val="9"/>
        <w:spacing w:line="600" w:lineRule="exact"/>
        <w:ind w:firstLine="600"/>
        <w:jc w:val="both"/>
        <w:rPr>
          <w:rFonts w:ascii="仿宋_GB2312" w:eastAsia="仿宋_GB2312"/>
          <w:color w:val="auto"/>
          <w:sz w:val="32"/>
          <w:szCs w:val="32"/>
        </w:rPr>
      </w:pPr>
      <w:r>
        <w:rPr>
          <w:rFonts w:hint="eastAsia" w:ascii="仿宋_GB2312" w:hAnsi="黑体" w:eastAsia="仿宋_GB2312" w:cs="黑体"/>
          <w:color w:val="auto"/>
          <w:sz w:val="32"/>
          <w:szCs w:val="32"/>
        </w:rPr>
        <w:t>第</w:t>
      </w:r>
      <w:r>
        <w:rPr>
          <w:rFonts w:hint="eastAsia" w:ascii="仿宋_GB2312" w:hAnsi="黑体" w:eastAsia="仿宋_GB2312" w:cs="黑体"/>
          <w:color w:val="auto"/>
          <w:sz w:val="32"/>
          <w:szCs w:val="32"/>
          <w:lang w:eastAsia="zh-CN"/>
        </w:rPr>
        <w:t>十</w:t>
      </w:r>
      <w:r>
        <w:rPr>
          <w:rFonts w:hint="eastAsia" w:ascii="仿宋_GB2312" w:hAnsi="黑体" w:eastAsia="仿宋_GB2312" w:cs="黑体"/>
          <w:color w:val="auto"/>
          <w:sz w:val="32"/>
          <w:szCs w:val="32"/>
          <w:lang w:val="en-US" w:eastAsia="zh-CN"/>
        </w:rPr>
        <w:t>四</w:t>
      </w:r>
      <w:r>
        <w:rPr>
          <w:rFonts w:hint="eastAsia" w:ascii="仿宋_GB2312" w:hAnsi="黑体" w:eastAsia="仿宋_GB2312" w:cs="黑体"/>
          <w:color w:val="auto"/>
          <w:sz w:val="32"/>
          <w:szCs w:val="32"/>
        </w:rPr>
        <w:t>条</w:t>
      </w:r>
      <w:r>
        <w:rPr>
          <w:rFonts w:hint="eastAsia" w:ascii="仿宋_GB2312" w:hAnsi="黑体" w:eastAsia="仿宋_GB2312" w:cs="黑体"/>
          <w:color w:val="auto"/>
          <w:sz w:val="32"/>
          <w:szCs w:val="32"/>
          <w:lang w:val="en-US" w:eastAsia="zh-CN"/>
        </w:rPr>
        <w:t xml:space="preserve"> </w:t>
      </w:r>
      <w:r>
        <w:rPr>
          <w:rFonts w:hint="eastAsia" w:ascii="仿宋_GB2312" w:eastAsia="仿宋_GB2312"/>
          <w:color w:val="auto"/>
          <w:sz w:val="32"/>
          <w:szCs w:val="32"/>
        </w:rPr>
        <w:t>项目单位需严格执行国家有关政策要求，落实项目法人责任制、招标采购制度、工程监理制度、竣工验收制度，不得擅自改变主要建设内容、降低建设标准。项目完成后，项目单位应及时按照有关规定做好竣工验收工作，按程序及时将验收结果报项目汇总申报单位备案。</w:t>
      </w:r>
    </w:p>
    <w:p>
      <w:pPr>
        <w:pStyle w:val="9"/>
        <w:spacing w:line="600" w:lineRule="exact"/>
        <w:ind w:firstLine="600"/>
        <w:jc w:val="both"/>
        <w:rPr>
          <w:rFonts w:ascii="仿宋_GB2312" w:eastAsia="仿宋_GB2312"/>
          <w:color w:val="auto"/>
          <w:sz w:val="32"/>
          <w:szCs w:val="32"/>
        </w:rPr>
      </w:pPr>
      <w:r>
        <w:rPr>
          <w:rFonts w:hint="eastAsia" w:ascii="仿宋_GB2312" w:hAnsi="黑体" w:eastAsia="仿宋_GB2312" w:cs="黑体"/>
          <w:color w:val="auto"/>
          <w:sz w:val="32"/>
          <w:szCs w:val="32"/>
        </w:rPr>
        <w:t>第</w:t>
      </w:r>
      <w:r>
        <w:rPr>
          <w:rFonts w:hint="eastAsia" w:ascii="仿宋_GB2312" w:hAnsi="黑体" w:eastAsia="仿宋_GB2312" w:cs="黑体"/>
          <w:color w:val="auto"/>
          <w:sz w:val="32"/>
          <w:szCs w:val="32"/>
          <w:lang w:val="en-US" w:eastAsia="zh-CN"/>
        </w:rPr>
        <w:t>十五</w:t>
      </w:r>
      <w:r>
        <w:rPr>
          <w:rFonts w:hint="eastAsia" w:ascii="仿宋_GB2312" w:hAnsi="黑体" w:eastAsia="仿宋_GB2312" w:cs="黑体"/>
          <w:color w:val="auto"/>
          <w:sz w:val="32"/>
          <w:szCs w:val="32"/>
        </w:rPr>
        <w:t>条</w:t>
      </w:r>
      <w:r>
        <w:rPr>
          <w:rFonts w:hint="eastAsia" w:ascii="仿宋_GB2312" w:hAnsi="黑体" w:eastAsia="仿宋_GB2312" w:cs="黑体"/>
          <w:color w:val="auto"/>
          <w:sz w:val="32"/>
          <w:szCs w:val="32"/>
          <w:lang w:val="en-US" w:eastAsia="zh-CN"/>
        </w:rPr>
        <w:t xml:space="preserve"> </w:t>
      </w:r>
      <w:r>
        <w:rPr>
          <w:rFonts w:hint="eastAsia" w:ascii="仿宋_GB2312" w:eastAsia="仿宋_GB2312"/>
          <w:color w:val="auto"/>
          <w:sz w:val="32"/>
          <w:szCs w:val="32"/>
        </w:rPr>
        <w:t>项目汇总申报单位要加大监督检查、评估督导等工作力度，督促日常监管直接责任单位和监管责任人切实履行日常监管职责。对当年投资计划项目，应至少开展一次现场检查。对监督检查、评估督导等发现的问题要逐项督促整改，其中重大问题要及时报告</w:t>
      </w:r>
      <w:r>
        <w:rPr>
          <w:rFonts w:hint="eastAsia" w:ascii="仿宋_GB2312" w:eastAsia="仿宋_GB2312"/>
          <w:color w:val="auto"/>
          <w:sz w:val="32"/>
          <w:szCs w:val="32"/>
          <w:lang w:eastAsia="zh-CN"/>
        </w:rPr>
        <w:t>省发展改革委</w:t>
      </w:r>
      <w:r>
        <w:rPr>
          <w:rFonts w:hint="eastAsia" w:ascii="仿宋_GB2312" w:eastAsia="仿宋_GB2312"/>
          <w:color w:val="auto"/>
          <w:sz w:val="32"/>
          <w:szCs w:val="32"/>
        </w:rPr>
        <w:t>。</w:t>
      </w:r>
    </w:p>
    <w:p>
      <w:pPr>
        <w:pStyle w:val="9"/>
        <w:spacing w:line="600" w:lineRule="exact"/>
        <w:ind w:firstLine="600"/>
        <w:jc w:val="both"/>
        <w:rPr>
          <w:rFonts w:ascii="仿宋_GB2312" w:eastAsia="仿宋_GB2312"/>
          <w:color w:val="auto"/>
          <w:sz w:val="32"/>
          <w:szCs w:val="32"/>
        </w:rPr>
      </w:pPr>
      <w:r>
        <w:rPr>
          <w:rFonts w:hint="eastAsia" w:ascii="仿宋_GB2312" w:hAnsi="黑体" w:eastAsia="仿宋_GB2312" w:cs="黑体"/>
          <w:color w:val="auto"/>
          <w:sz w:val="32"/>
          <w:szCs w:val="32"/>
        </w:rPr>
        <w:t>第二</w:t>
      </w:r>
      <w:r>
        <w:rPr>
          <w:rFonts w:hint="eastAsia" w:ascii="仿宋_GB2312" w:hAnsi="黑体" w:eastAsia="仿宋_GB2312" w:cs="黑体"/>
          <w:color w:val="auto"/>
          <w:sz w:val="32"/>
          <w:szCs w:val="32"/>
          <w:lang w:val="en-US" w:eastAsia="zh-CN"/>
        </w:rPr>
        <w:t>十六</w:t>
      </w:r>
      <w:r>
        <w:rPr>
          <w:rFonts w:hint="eastAsia" w:ascii="仿宋_GB2312" w:hAnsi="黑体" w:eastAsia="仿宋_GB2312" w:cs="黑体"/>
          <w:color w:val="auto"/>
          <w:sz w:val="32"/>
          <w:szCs w:val="32"/>
        </w:rPr>
        <w:t>条</w:t>
      </w:r>
      <w:r>
        <w:rPr>
          <w:rFonts w:hint="eastAsia" w:ascii="仿宋_GB2312" w:hAnsi="黑体" w:eastAsia="仿宋_GB2312" w:cs="黑体"/>
          <w:color w:val="auto"/>
          <w:sz w:val="32"/>
          <w:szCs w:val="32"/>
          <w:lang w:val="en-US" w:eastAsia="zh-CN"/>
        </w:rPr>
        <w:t xml:space="preserve"> </w:t>
      </w:r>
      <w:r>
        <w:rPr>
          <w:rFonts w:hint="eastAsia" w:ascii="仿宋_GB2312" w:eastAsia="仿宋_GB2312"/>
          <w:color w:val="auto"/>
          <w:sz w:val="32"/>
          <w:szCs w:val="32"/>
        </w:rPr>
        <w:t>项目单位应当自觉接受审计、监察、财政等部门依据职能分工进行的监督检查，如实提供与项目有关的文件资料和情况，不得销毁、隐匿、转移、篡改、伪造或者无故拖延、拒绝提供有关文件资料。</w:t>
      </w:r>
    </w:p>
    <w:p>
      <w:pPr>
        <w:pStyle w:val="9"/>
        <w:spacing w:line="600" w:lineRule="exact"/>
        <w:ind w:firstLine="600"/>
        <w:jc w:val="both"/>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第</w:t>
      </w:r>
      <w:r>
        <w:rPr>
          <w:rFonts w:hint="eastAsia" w:ascii="仿宋_GB2312" w:hAnsi="黑体" w:eastAsia="仿宋_GB2312" w:cs="黑体"/>
          <w:color w:val="auto"/>
          <w:sz w:val="32"/>
          <w:szCs w:val="32"/>
          <w:lang w:val="en-US" w:eastAsia="zh-CN"/>
        </w:rPr>
        <w:t xml:space="preserve">十七条 </w:t>
      </w:r>
      <w:r>
        <w:rPr>
          <w:rFonts w:hint="eastAsia" w:ascii="仿宋_GB2312" w:hAnsi="黑体" w:eastAsia="仿宋_GB2312" w:cs="黑体"/>
          <w:color w:val="auto"/>
          <w:sz w:val="32"/>
          <w:szCs w:val="32"/>
        </w:rPr>
        <w:t>本专项已下达的年度投资计划原则上不得调整。如因建设主体、建设内容、建设规模、总投资等发生重大变更或因某些原因导致项目无法实施、确需调整投资计划的，汇总申报单位应及时向</w:t>
      </w:r>
      <w:r>
        <w:rPr>
          <w:rFonts w:hint="eastAsia" w:ascii="仿宋_GB2312" w:hAnsi="黑体" w:eastAsia="仿宋_GB2312" w:cs="黑体"/>
          <w:color w:val="auto"/>
          <w:sz w:val="32"/>
          <w:szCs w:val="32"/>
          <w:lang w:val="en-US" w:eastAsia="zh-CN"/>
        </w:rPr>
        <w:t>省</w:t>
      </w:r>
      <w:r>
        <w:rPr>
          <w:rFonts w:hint="eastAsia" w:ascii="仿宋_GB2312" w:hAnsi="黑体" w:eastAsia="仿宋_GB2312" w:cs="黑体"/>
          <w:color w:val="auto"/>
          <w:sz w:val="32"/>
          <w:szCs w:val="32"/>
        </w:rPr>
        <w:t>发展改革委报送项目调整请示文件，由</w:t>
      </w:r>
      <w:r>
        <w:rPr>
          <w:rFonts w:hint="eastAsia" w:ascii="仿宋_GB2312" w:hAnsi="黑体" w:eastAsia="仿宋_GB2312" w:cs="黑体"/>
          <w:color w:val="auto"/>
          <w:sz w:val="32"/>
          <w:szCs w:val="32"/>
          <w:lang w:val="en-US" w:eastAsia="zh-CN"/>
        </w:rPr>
        <w:t>省</w:t>
      </w:r>
      <w:r>
        <w:rPr>
          <w:rFonts w:hint="eastAsia" w:ascii="仿宋_GB2312" w:hAnsi="黑体" w:eastAsia="仿宋_GB2312" w:cs="黑体"/>
          <w:color w:val="auto"/>
          <w:sz w:val="32"/>
          <w:szCs w:val="32"/>
        </w:rPr>
        <w:t>发展改革委按程序调整。</w:t>
      </w:r>
    </w:p>
    <w:p>
      <w:pPr>
        <w:pStyle w:val="9"/>
        <w:spacing w:line="600" w:lineRule="exact"/>
        <w:ind w:firstLine="600"/>
        <w:jc w:val="both"/>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第十八条</w:t>
      </w:r>
      <w:r>
        <w:rPr>
          <w:rFonts w:hint="eastAsia" w:ascii="仿宋_GB2312" w:hAnsi="黑体" w:eastAsia="仿宋_GB2312" w:cs="黑体"/>
          <w:color w:val="auto"/>
          <w:sz w:val="32"/>
          <w:szCs w:val="32"/>
          <w:lang w:val="en-US" w:eastAsia="zh-CN"/>
        </w:rPr>
        <w:t xml:space="preserve"> </w:t>
      </w:r>
      <w:r>
        <w:rPr>
          <w:rFonts w:hint="eastAsia" w:ascii="仿宋_GB2312" w:hAnsi="黑体" w:eastAsia="仿宋_GB2312" w:cs="黑体"/>
          <w:color w:val="auto"/>
          <w:sz w:val="32"/>
          <w:szCs w:val="32"/>
        </w:rPr>
        <w:t>对存在以下问题的汇总申报单位或项目单位，</w:t>
      </w:r>
      <w:r>
        <w:rPr>
          <w:rFonts w:hint="eastAsia" w:ascii="仿宋_GB2312" w:hAnsi="黑体" w:eastAsia="仿宋_GB2312" w:cs="黑体"/>
          <w:color w:val="auto"/>
          <w:sz w:val="32"/>
          <w:szCs w:val="32"/>
          <w:lang w:val="en-US" w:eastAsia="zh-CN"/>
        </w:rPr>
        <w:t>省</w:t>
      </w:r>
      <w:r>
        <w:rPr>
          <w:rFonts w:hint="eastAsia" w:ascii="仿宋_GB2312" w:hAnsi="黑体" w:eastAsia="仿宋_GB2312" w:cs="黑体"/>
          <w:color w:val="auto"/>
          <w:sz w:val="32"/>
          <w:szCs w:val="32"/>
        </w:rPr>
        <w:t>发展改革委可根据情节，采取通报、约谈相关</w:t>
      </w:r>
      <w:r>
        <w:rPr>
          <w:rFonts w:hint="eastAsia" w:ascii="仿宋_GB2312" w:hAnsi="黑体" w:eastAsia="仿宋_GB2312" w:cs="黑体"/>
          <w:color w:val="auto"/>
          <w:sz w:val="32"/>
          <w:szCs w:val="32"/>
          <w:lang w:val="en-US" w:eastAsia="zh-CN"/>
        </w:rPr>
        <w:t>市</w:t>
      </w:r>
      <w:r>
        <w:rPr>
          <w:rFonts w:hint="eastAsia" w:ascii="仿宋_GB2312" w:hAnsi="黑体" w:eastAsia="仿宋_GB2312" w:cs="黑体"/>
          <w:color w:val="auto"/>
          <w:sz w:val="32"/>
          <w:szCs w:val="32"/>
        </w:rPr>
        <w:t>级发展改革部门负责人、责令限期整改、在一定时期和范围内不再受理其报送的资金申请报告、取消或核减下年度</w:t>
      </w:r>
      <w:r>
        <w:rPr>
          <w:rFonts w:hint="eastAsia" w:ascii="仿宋_GB2312" w:hAnsi="黑体" w:eastAsia="仿宋_GB2312" w:cs="黑体"/>
          <w:color w:val="auto"/>
          <w:sz w:val="32"/>
          <w:szCs w:val="32"/>
          <w:lang w:val="en-US" w:eastAsia="zh-CN"/>
        </w:rPr>
        <w:t>省级</w:t>
      </w:r>
      <w:r>
        <w:rPr>
          <w:rFonts w:hint="eastAsia" w:ascii="仿宋_GB2312" w:hAnsi="黑体" w:eastAsia="仿宋_GB2312" w:cs="黑体"/>
          <w:color w:val="auto"/>
          <w:sz w:val="32"/>
          <w:szCs w:val="32"/>
        </w:rPr>
        <w:t>预算内投资规模等措施。</w:t>
      </w:r>
    </w:p>
    <w:p>
      <w:pPr>
        <w:pStyle w:val="9"/>
        <w:spacing w:line="600" w:lineRule="exact"/>
        <w:ind w:firstLine="600"/>
        <w:jc w:val="both"/>
        <w:rPr>
          <w:rFonts w:hint="eastAsia" w:ascii="仿宋_GB2312" w:hAnsi="黑体" w:eastAsia="仿宋_GB2312" w:cs="黑体"/>
          <w:color w:val="auto"/>
          <w:sz w:val="32"/>
          <w:szCs w:val="32"/>
          <w:lang w:eastAsia="zh-CN"/>
        </w:rPr>
      </w:pP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lang w:val="en-US" w:eastAsia="zh-CN"/>
        </w:rPr>
        <w:t>一</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rPr>
        <w:t>项目未按时开工、建设进度和绩效目标执行不及预期、超期未完工的</w:t>
      </w:r>
      <w:r>
        <w:rPr>
          <w:rFonts w:hint="eastAsia" w:ascii="仿宋_GB2312" w:hAnsi="黑体" w:eastAsia="仿宋_GB2312" w:cs="黑体"/>
          <w:color w:val="auto"/>
          <w:sz w:val="32"/>
          <w:szCs w:val="32"/>
          <w:lang w:eastAsia="zh-CN"/>
        </w:rPr>
        <w:t>；</w:t>
      </w:r>
    </w:p>
    <w:p>
      <w:pPr>
        <w:pStyle w:val="9"/>
        <w:spacing w:line="600" w:lineRule="exact"/>
        <w:ind w:firstLine="600"/>
        <w:jc w:val="both"/>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lang w:val="en-US" w:eastAsia="zh-CN"/>
        </w:rPr>
        <w:t>二</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rPr>
        <w:t>项目申报、审核、分解下达年度计划出现严重失误的；</w:t>
      </w:r>
    </w:p>
    <w:p>
      <w:pPr>
        <w:pStyle w:val="9"/>
        <w:spacing w:line="600" w:lineRule="exact"/>
        <w:ind w:firstLine="600"/>
        <w:jc w:val="both"/>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lang w:val="en-US" w:eastAsia="zh-CN"/>
        </w:rPr>
        <w:t>三</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rPr>
        <w:t>项目问题整改工作不力或整改措施不到位的；</w:t>
      </w:r>
    </w:p>
    <w:p>
      <w:pPr>
        <w:pStyle w:val="9"/>
        <w:spacing w:line="600" w:lineRule="exact"/>
        <w:ind w:firstLine="600"/>
        <w:jc w:val="both"/>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lang w:val="en-US" w:eastAsia="zh-CN"/>
        </w:rPr>
        <w:t>四</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rPr>
        <w:t>其他违反法律法规和本办法有关规定的行为。</w:t>
      </w:r>
    </w:p>
    <w:p>
      <w:pPr>
        <w:pStyle w:val="9"/>
        <w:spacing w:line="600" w:lineRule="exact"/>
        <w:ind w:firstLine="600"/>
        <w:jc w:val="both"/>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第十九条</w:t>
      </w:r>
      <w:r>
        <w:rPr>
          <w:rFonts w:hint="eastAsia" w:ascii="仿宋_GB2312" w:hAnsi="黑体" w:eastAsia="仿宋_GB2312" w:cs="黑体"/>
          <w:color w:val="auto"/>
          <w:sz w:val="32"/>
          <w:szCs w:val="32"/>
          <w:lang w:val="en-US" w:eastAsia="zh-CN"/>
        </w:rPr>
        <w:t xml:space="preserve"> </w:t>
      </w:r>
      <w:r>
        <w:rPr>
          <w:rFonts w:hint="eastAsia" w:ascii="仿宋_GB2312" w:hAnsi="黑体" w:eastAsia="仿宋_GB2312" w:cs="黑体"/>
          <w:color w:val="auto"/>
          <w:sz w:val="32"/>
          <w:szCs w:val="32"/>
        </w:rPr>
        <w:t>对存在以下问题的汇总申报单位或项目单位，</w:t>
      </w:r>
      <w:r>
        <w:rPr>
          <w:rFonts w:hint="eastAsia" w:ascii="仿宋_GB2312" w:hAnsi="黑体" w:eastAsia="仿宋_GB2312" w:cs="黑体"/>
          <w:color w:val="auto"/>
          <w:sz w:val="32"/>
          <w:szCs w:val="32"/>
          <w:lang w:val="en-US" w:eastAsia="zh-CN"/>
        </w:rPr>
        <w:t>省</w:t>
      </w:r>
      <w:r>
        <w:rPr>
          <w:rFonts w:hint="eastAsia" w:ascii="仿宋_GB2312" w:hAnsi="黑体" w:eastAsia="仿宋_GB2312" w:cs="黑体"/>
          <w:color w:val="auto"/>
          <w:sz w:val="32"/>
          <w:szCs w:val="32"/>
        </w:rPr>
        <w:t>发展改革委可采取责令整改、暂停或停止拨付、收回</w:t>
      </w:r>
      <w:r>
        <w:rPr>
          <w:rFonts w:hint="eastAsia" w:ascii="仿宋_GB2312" w:hAnsi="黑体" w:eastAsia="仿宋_GB2312" w:cs="黑体"/>
          <w:color w:val="auto"/>
          <w:sz w:val="32"/>
          <w:szCs w:val="32"/>
          <w:lang w:val="en-US" w:eastAsia="zh-CN"/>
        </w:rPr>
        <w:t>省级</w:t>
      </w:r>
      <w:r>
        <w:rPr>
          <w:rFonts w:hint="eastAsia" w:ascii="仿宋_GB2312" w:hAnsi="黑体" w:eastAsia="仿宋_GB2312" w:cs="黑体"/>
          <w:color w:val="auto"/>
          <w:sz w:val="32"/>
          <w:szCs w:val="32"/>
        </w:rPr>
        <w:t>预算内补助资金、在一定时期和范围内不再受理其报送的资金申请报告、取消或核减下年度</w:t>
      </w:r>
      <w:r>
        <w:rPr>
          <w:rFonts w:hint="eastAsia" w:ascii="仿宋_GB2312" w:hAnsi="黑体" w:eastAsia="仿宋_GB2312" w:cs="黑体"/>
          <w:color w:val="auto"/>
          <w:sz w:val="32"/>
          <w:szCs w:val="32"/>
          <w:lang w:val="en-US" w:eastAsia="zh-CN"/>
        </w:rPr>
        <w:t>省级</w:t>
      </w:r>
      <w:r>
        <w:rPr>
          <w:rFonts w:hint="eastAsia" w:ascii="仿宋_GB2312" w:hAnsi="黑体" w:eastAsia="仿宋_GB2312" w:cs="黑体"/>
          <w:color w:val="auto"/>
          <w:sz w:val="32"/>
          <w:szCs w:val="32"/>
        </w:rPr>
        <w:t>预算内投资规模等措施。同时，可视情节轻重提请或移交有关机关依法追究相关责任人的行政或者法律责任。</w:t>
      </w:r>
    </w:p>
    <w:p>
      <w:pPr>
        <w:pStyle w:val="9"/>
        <w:spacing w:line="600" w:lineRule="exact"/>
        <w:ind w:firstLine="600"/>
        <w:jc w:val="both"/>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lang w:val="en-US" w:eastAsia="zh-CN"/>
        </w:rPr>
        <w:t>一</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rPr>
        <w:t>提供虚假情况、骗取投资补助资金的；</w:t>
      </w:r>
    </w:p>
    <w:p>
      <w:pPr>
        <w:pStyle w:val="9"/>
        <w:spacing w:line="600" w:lineRule="exact"/>
        <w:ind w:firstLine="600"/>
        <w:jc w:val="both"/>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lang w:val="en-US" w:eastAsia="zh-CN"/>
        </w:rPr>
        <w:t>二</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rPr>
        <w:t>转移、侵占或者挪用投资补助资金的；</w:t>
      </w:r>
    </w:p>
    <w:p>
      <w:pPr>
        <w:pStyle w:val="9"/>
        <w:spacing w:line="600" w:lineRule="exact"/>
        <w:ind w:firstLine="600"/>
        <w:jc w:val="both"/>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lang w:val="en-US" w:eastAsia="zh-CN"/>
        </w:rPr>
        <w:t>三</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rPr>
        <w:t>擅自改变主要建设内容和建设标准的；</w:t>
      </w:r>
    </w:p>
    <w:p>
      <w:pPr>
        <w:pStyle w:val="9"/>
        <w:spacing w:line="600" w:lineRule="exact"/>
        <w:ind w:firstLine="600"/>
        <w:jc w:val="both"/>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lang w:val="en-US" w:eastAsia="zh-CN"/>
        </w:rPr>
        <w:t>四</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rPr>
        <w:t>其他违反法律法规和本办法有关规定的行为。</w:t>
      </w:r>
    </w:p>
    <w:p>
      <w:pPr>
        <w:pStyle w:val="9"/>
        <w:keepNext w:val="0"/>
        <w:keepLines w:val="0"/>
        <w:pageBreakBefore w:val="0"/>
        <w:widowControl w:val="0"/>
        <w:kinsoku/>
        <w:wordWrap/>
        <w:overflowPunct/>
        <w:topLinePunct w:val="0"/>
        <w:autoSpaceDE/>
        <w:autoSpaceDN/>
        <w:bidi w:val="0"/>
        <w:adjustRightInd/>
        <w:snapToGrid/>
        <w:spacing w:before="181" w:beforeLines="50" w:after="181" w:afterLines="50" w:line="600" w:lineRule="exact"/>
        <w:ind w:firstLine="0"/>
        <w:jc w:val="center"/>
        <w:textAlignment w:val="auto"/>
        <w:rPr>
          <w:rFonts w:ascii="仿宋_GB2312" w:eastAsia="仿宋_GB2312"/>
          <w:color w:val="auto"/>
          <w:sz w:val="32"/>
          <w:szCs w:val="32"/>
        </w:rPr>
      </w:pPr>
      <w:r>
        <w:rPr>
          <w:rFonts w:hint="eastAsia" w:ascii="方正黑体_GBK" w:hAnsi="方正黑体_GBK" w:eastAsia="方正黑体_GBK" w:cs="方正黑体_GBK"/>
          <w:color w:val="auto"/>
          <w:sz w:val="32"/>
          <w:szCs w:val="32"/>
        </w:rPr>
        <w:t>第五章</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附则</w:t>
      </w:r>
    </w:p>
    <w:p>
      <w:pPr>
        <w:pStyle w:val="9"/>
        <w:spacing w:line="600" w:lineRule="exact"/>
        <w:ind w:firstLine="600"/>
        <w:jc w:val="both"/>
        <w:rPr>
          <w:rFonts w:ascii="仿宋_GB2312" w:eastAsia="仿宋_GB2312"/>
          <w:color w:val="auto"/>
          <w:sz w:val="32"/>
          <w:szCs w:val="32"/>
          <w:highlight w:val="none"/>
        </w:rPr>
      </w:pPr>
      <w:r>
        <w:rPr>
          <w:rFonts w:hint="eastAsia" w:ascii="仿宋_GB2312" w:hAnsi="黑体" w:eastAsia="仿宋_GB2312" w:cs="黑体"/>
          <w:color w:val="auto"/>
          <w:sz w:val="32"/>
          <w:szCs w:val="32"/>
          <w:highlight w:val="none"/>
        </w:rPr>
        <w:t>第二十条</w:t>
      </w:r>
      <w:r>
        <w:rPr>
          <w:rFonts w:hint="eastAsia" w:ascii="仿宋_GB2312" w:hAnsi="黑体" w:eastAsia="仿宋_GB2312" w:cs="黑体"/>
          <w:color w:val="auto"/>
          <w:sz w:val="32"/>
          <w:szCs w:val="32"/>
          <w:highlight w:val="none"/>
          <w:lang w:val="en-US" w:eastAsia="zh-CN"/>
        </w:rPr>
        <w:t xml:space="preserve"> </w:t>
      </w:r>
      <w:r>
        <w:rPr>
          <w:rFonts w:hint="eastAsia" w:ascii="仿宋_GB2312" w:eastAsia="仿宋_GB2312"/>
          <w:color w:val="auto"/>
          <w:sz w:val="32"/>
          <w:szCs w:val="32"/>
          <w:highlight w:val="none"/>
        </w:rPr>
        <w:t>本办法由</w:t>
      </w:r>
      <w:r>
        <w:rPr>
          <w:rFonts w:hint="eastAsia" w:ascii="仿宋_GB2312" w:eastAsia="仿宋_GB2312"/>
          <w:color w:val="auto"/>
          <w:sz w:val="32"/>
          <w:szCs w:val="32"/>
          <w:highlight w:val="none"/>
          <w:lang w:eastAsia="zh-CN"/>
        </w:rPr>
        <w:t>省发展改革委</w:t>
      </w:r>
      <w:r>
        <w:rPr>
          <w:rFonts w:hint="eastAsia" w:ascii="仿宋_GB2312" w:eastAsia="仿宋_GB2312"/>
          <w:color w:val="auto"/>
          <w:sz w:val="32"/>
          <w:szCs w:val="32"/>
          <w:highlight w:val="none"/>
        </w:rPr>
        <w:t>负责解释。</w:t>
      </w:r>
    </w:p>
    <w:p>
      <w:pPr>
        <w:pStyle w:val="9"/>
        <w:spacing w:line="600" w:lineRule="exact"/>
        <w:ind w:firstLine="600"/>
        <w:jc w:val="both"/>
        <w:rPr>
          <w:rFonts w:ascii="仿宋_GB2312" w:eastAsia="仿宋_GB2312"/>
          <w:color w:val="auto"/>
          <w:sz w:val="32"/>
          <w:szCs w:val="32"/>
          <w:highlight w:val="none"/>
        </w:rPr>
      </w:pPr>
      <w:r>
        <w:rPr>
          <w:rFonts w:hint="eastAsia" w:ascii="仿宋_GB2312" w:hAnsi="黑体" w:eastAsia="仿宋_GB2312" w:cs="黑体"/>
          <w:color w:val="auto"/>
          <w:sz w:val="32"/>
          <w:szCs w:val="32"/>
          <w:highlight w:val="none"/>
        </w:rPr>
        <w:t>第二十</w:t>
      </w:r>
      <w:r>
        <w:rPr>
          <w:rFonts w:hint="eastAsia" w:ascii="仿宋_GB2312" w:hAnsi="黑体" w:eastAsia="仿宋_GB2312" w:cs="黑体"/>
          <w:color w:val="auto"/>
          <w:sz w:val="32"/>
          <w:szCs w:val="32"/>
          <w:highlight w:val="none"/>
          <w:lang w:val="en-US" w:eastAsia="zh-CN"/>
        </w:rPr>
        <w:t>一</w:t>
      </w:r>
      <w:r>
        <w:rPr>
          <w:rFonts w:hint="eastAsia" w:ascii="仿宋_GB2312" w:hAnsi="黑体" w:eastAsia="仿宋_GB2312" w:cs="黑体"/>
          <w:color w:val="auto"/>
          <w:sz w:val="32"/>
          <w:szCs w:val="32"/>
          <w:highlight w:val="none"/>
        </w:rPr>
        <w:t>条</w:t>
      </w:r>
      <w:r>
        <w:rPr>
          <w:rFonts w:hint="eastAsia" w:ascii="仿宋_GB2312" w:hAnsi="黑体" w:eastAsia="仿宋_GB2312" w:cs="黑体"/>
          <w:color w:val="auto"/>
          <w:sz w:val="32"/>
          <w:szCs w:val="32"/>
          <w:highlight w:val="none"/>
          <w:lang w:val="en-US" w:eastAsia="zh-CN"/>
        </w:rPr>
        <w:t xml:space="preserve"> </w:t>
      </w:r>
      <w:r>
        <w:rPr>
          <w:rFonts w:hint="eastAsia" w:ascii="仿宋_GB2312" w:eastAsia="仿宋_GB2312"/>
          <w:color w:val="auto"/>
          <w:sz w:val="32"/>
          <w:szCs w:val="32"/>
          <w:highlight w:val="none"/>
        </w:rPr>
        <w:t>本办法自发布之日起施行，有效期五年，并将根据</w:t>
      </w:r>
      <w:r>
        <w:rPr>
          <w:rFonts w:hint="eastAsia" w:ascii="仿宋_GB2312" w:eastAsia="仿宋_GB2312"/>
          <w:color w:val="auto"/>
          <w:sz w:val="32"/>
          <w:szCs w:val="32"/>
          <w:highlight w:val="none"/>
          <w:lang w:eastAsia="zh-CN"/>
        </w:rPr>
        <w:t>省委、省政府</w:t>
      </w:r>
      <w:r>
        <w:rPr>
          <w:rFonts w:hint="eastAsia" w:ascii="仿宋_GB2312" w:eastAsia="仿宋_GB2312"/>
          <w:color w:val="auto"/>
          <w:sz w:val="32"/>
          <w:szCs w:val="32"/>
          <w:highlight w:val="none"/>
        </w:rPr>
        <w:t>有关工作要求及时进行修订。</w:t>
      </w:r>
    </w:p>
    <w:sectPr>
      <w:footerReference r:id="rId5" w:type="default"/>
      <w:pgSz w:w="11900" w:h="16840"/>
      <w:pgMar w:top="1874" w:right="1562" w:bottom="1787" w:left="1592" w:header="1446" w:footer="1359"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461782-7718-47F4-AF4A-94E7E10B13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6E235034-7936-489E-A4A2-21FFBB38640F}"/>
  </w:font>
  <w:font w:name="方正小标宋_GBK">
    <w:panose1 w:val="03000509000000000000"/>
    <w:charset w:val="86"/>
    <w:family w:val="script"/>
    <w:pitch w:val="default"/>
    <w:sig w:usb0="00000001" w:usb1="080E0000" w:usb2="00000000" w:usb3="00000000" w:csb0="00040000" w:csb1="00000000"/>
    <w:embedRegular r:id="rId3" w:fontKey="{7866B6BE-B118-4092-802E-0FBB5F877F2C}"/>
  </w:font>
  <w:font w:name="仿宋_GB2312">
    <w:panose1 w:val="02010609030101010101"/>
    <w:charset w:val="86"/>
    <w:family w:val="modern"/>
    <w:pitch w:val="default"/>
    <w:sig w:usb0="00000001" w:usb1="080E0000" w:usb2="00000000" w:usb3="00000000" w:csb0="00040000" w:csb1="00000000"/>
    <w:embedRegular r:id="rId4" w:fontKey="{4315E08B-9108-4CCD-9B2C-B6A1E7997F58}"/>
  </w:font>
  <w:font w:name="方正黑体_GBK">
    <w:panose1 w:val="02000000000000000000"/>
    <w:charset w:val="86"/>
    <w:family w:val="auto"/>
    <w:pitch w:val="default"/>
    <w:sig w:usb0="00000000" w:usb1="00000000" w:usb2="00000000" w:usb3="00000000" w:csb0="00000000" w:csb1="00000000"/>
    <w:embedRegular r:id="rId5" w:fontKey="{9927F116-C60A-4608-834A-8451D52F27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lNjIxMGIyYWU0NDg4MGU0NjI1ZjhkNmU2NjkzZjkifQ=="/>
  </w:docVars>
  <w:rsids>
    <w:rsidRoot w:val="00402431"/>
    <w:rsid w:val="001578C7"/>
    <w:rsid w:val="001A011A"/>
    <w:rsid w:val="00402431"/>
    <w:rsid w:val="005046F5"/>
    <w:rsid w:val="00530922"/>
    <w:rsid w:val="005B4EB6"/>
    <w:rsid w:val="006936E6"/>
    <w:rsid w:val="006B03D1"/>
    <w:rsid w:val="00724886"/>
    <w:rsid w:val="00780C10"/>
    <w:rsid w:val="0082174E"/>
    <w:rsid w:val="009F01F1"/>
    <w:rsid w:val="00BF7304"/>
    <w:rsid w:val="00DC0FF2"/>
    <w:rsid w:val="00EA2660"/>
    <w:rsid w:val="00EB16FB"/>
    <w:rsid w:val="00EE59A9"/>
    <w:rsid w:val="00F24FC3"/>
    <w:rsid w:val="00F772C8"/>
    <w:rsid w:val="00FE10E3"/>
    <w:rsid w:val="045126D0"/>
    <w:rsid w:val="077738D4"/>
    <w:rsid w:val="079F4ED5"/>
    <w:rsid w:val="088D5BEE"/>
    <w:rsid w:val="0CC11656"/>
    <w:rsid w:val="171D4419"/>
    <w:rsid w:val="1767603B"/>
    <w:rsid w:val="182153CA"/>
    <w:rsid w:val="1B9F13E8"/>
    <w:rsid w:val="1CDB5A67"/>
    <w:rsid w:val="30BA2C33"/>
    <w:rsid w:val="30E107B4"/>
    <w:rsid w:val="353C5211"/>
    <w:rsid w:val="3CE63FEE"/>
    <w:rsid w:val="3EAF565D"/>
    <w:rsid w:val="452D591E"/>
    <w:rsid w:val="4A5401EE"/>
    <w:rsid w:val="4CCD34DF"/>
    <w:rsid w:val="527E3C5D"/>
    <w:rsid w:val="54422A66"/>
    <w:rsid w:val="54744E2C"/>
    <w:rsid w:val="54CA318A"/>
    <w:rsid w:val="54D14098"/>
    <w:rsid w:val="54D1518C"/>
    <w:rsid w:val="55501739"/>
    <w:rsid w:val="563C1E65"/>
    <w:rsid w:val="5BC92F75"/>
    <w:rsid w:val="5BFB631F"/>
    <w:rsid w:val="5E4F3372"/>
    <w:rsid w:val="61EB0285"/>
    <w:rsid w:val="63EE6769"/>
    <w:rsid w:val="653974D1"/>
    <w:rsid w:val="68FD420D"/>
    <w:rsid w:val="696A37DB"/>
    <w:rsid w:val="6F694B09"/>
    <w:rsid w:val="6FFFAFDF"/>
    <w:rsid w:val="72693B8A"/>
    <w:rsid w:val="79442C5B"/>
    <w:rsid w:val="7B2477A5"/>
    <w:rsid w:val="7C091F3A"/>
    <w:rsid w:val="7E207990"/>
    <w:rsid w:val="F5FE398E"/>
    <w:rsid w:val="FA7FCA40"/>
    <w:rsid w:val="FFDFE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6">
    <w:name w:val="Heading #1|1_"/>
    <w:basedOn w:val="5"/>
    <w:link w:val="7"/>
    <w:qFormat/>
    <w:uiPriority w:val="0"/>
    <w:rPr>
      <w:rFonts w:ascii="宋体" w:hAnsi="宋体" w:eastAsia="宋体" w:cs="宋体"/>
      <w:sz w:val="40"/>
      <w:szCs w:val="40"/>
      <w:u w:val="none"/>
      <w:shd w:val="clear" w:color="auto" w:fill="auto"/>
      <w:lang w:val="zh-TW" w:eastAsia="zh-TW" w:bidi="zh-TW"/>
    </w:rPr>
  </w:style>
  <w:style w:type="paragraph" w:customStyle="1" w:styleId="7">
    <w:name w:val="Heading #1|1"/>
    <w:basedOn w:val="1"/>
    <w:link w:val="6"/>
    <w:qFormat/>
    <w:uiPriority w:val="0"/>
    <w:pPr>
      <w:spacing w:before="420" w:after="480" w:line="677" w:lineRule="exact"/>
      <w:jc w:val="center"/>
      <w:outlineLvl w:val="0"/>
    </w:pPr>
    <w:rPr>
      <w:rFonts w:ascii="宋体" w:hAnsi="宋体" w:eastAsia="宋体" w:cs="宋体"/>
      <w:sz w:val="40"/>
      <w:szCs w:val="40"/>
      <w:lang w:val="zh-TW" w:eastAsia="zh-TW" w:bidi="zh-TW"/>
    </w:rPr>
  </w:style>
  <w:style w:type="character" w:customStyle="1" w:styleId="8">
    <w:name w:val="Body text|1_"/>
    <w:basedOn w:val="5"/>
    <w:link w:val="9"/>
    <w:qFormat/>
    <w:uiPriority w:val="0"/>
    <w:rPr>
      <w:rFonts w:ascii="宋体" w:hAnsi="宋体" w:eastAsia="宋体" w:cs="宋体"/>
      <w:sz w:val="30"/>
      <w:szCs w:val="30"/>
      <w:u w:val="none"/>
      <w:shd w:val="clear" w:color="auto" w:fill="auto"/>
      <w:lang w:val="zh-TW" w:eastAsia="zh-TW" w:bidi="zh-TW"/>
    </w:rPr>
  </w:style>
  <w:style w:type="paragraph" w:customStyle="1" w:styleId="9">
    <w:name w:val="Body text|1"/>
    <w:basedOn w:val="1"/>
    <w:link w:val="8"/>
    <w:qFormat/>
    <w:uiPriority w:val="0"/>
    <w:pPr>
      <w:spacing w:line="415"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3107</Words>
  <Characters>3136</Characters>
  <Lines>23</Lines>
  <Paragraphs>6</Paragraphs>
  <TotalTime>93</TotalTime>
  <ScaleCrop>false</ScaleCrop>
  <LinksUpToDate>false</LinksUpToDate>
  <CharactersWithSpaces>3167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2023-05-22T08:05:00Z</dcterms:created>
  <dc:creator>admin</dc:creator>
  <cp:lastModifiedBy>任丽如</cp:lastModifiedBy>
  <dcterms:modified xsi:type="dcterms:W3CDTF">2025-09-23T08:39:35Z</dcterms:modified>
  <dc:title>P020210616345050268541.pdf</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AD13B8E6F4A144D19DCD53FBEEEA90B6_13</vt:lpwstr>
  </property>
</Properties>
</file>